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F736" w14:textId="358781AB" w:rsidR="00A50BBD" w:rsidRPr="0062452D" w:rsidRDefault="001B652B" w:rsidP="00A50BBD">
      <w:pPr>
        <w:pStyle w:val="Title"/>
        <w:rPr>
          <w:rFonts w:asciiTheme="minorHAnsi" w:hAnsiTheme="minorHAnsi" w:cstheme="minorHAnsi"/>
          <w:sz w:val="48"/>
          <w:szCs w:val="48"/>
        </w:rPr>
      </w:pPr>
      <w:r w:rsidRPr="0062452D">
        <w:rPr>
          <w:rFonts w:asciiTheme="minorHAnsi" w:hAnsiTheme="minorHAnsi" w:cstheme="minorHAnsi"/>
        </w:rPr>
        <w:t>Norfund’s R</w:t>
      </w:r>
      <w:r w:rsidR="00E636FB" w:rsidRPr="0062452D">
        <w:rPr>
          <w:rFonts w:asciiTheme="minorHAnsi" w:hAnsiTheme="minorHAnsi" w:cstheme="minorHAnsi"/>
        </w:rPr>
        <w:t>isk Appetite</w:t>
      </w:r>
    </w:p>
    <w:p w14:paraId="4EF74F51" w14:textId="561AB1C0" w:rsidR="00392B1B" w:rsidRPr="00392B1B" w:rsidRDefault="00392B1B" w:rsidP="00C760A2">
      <w:pPr>
        <w:jc w:val="both"/>
        <w:rPr>
          <w:rFonts w:asciiTheme="minorHAnsi" w:hAnsiTheme="minorHAnsi" w:cstheme="minorHAnsi"/>
        </w:rPr>
      </w:pPr>
      <w:r w:rsidRPr="00392B1B">
        <w:rPr>
          <w:rFonts w:asciiTheme="minorHAnsi" w:hAnsiTheme="minorHAnsi" w:cstheme="minorHAnsi"/>
        </w:rPr>
        <w:t xml:space="preserve">The Norfund Act states that </w:t>
      </w:r>
      <w:r w:rsidRPr="00392B1B">
        <w:rPr>
          <w:rFonts w:asciiTheme="minorHAnsi" w:hAnsiTheme="minorHAnsi" w:cstheme="minorHAnsi"/>
          <w:i/>
          <w:iCs/>
        </w:rPr>
        <w:t>«The purpose of Norfund is to assist in developing sustainable business and</w:t>
      </w:r>
      <w:r>
        <w:rPr>
          <w:rFonts w:asciiTheme="minorHAnsi" w:hAnsiTheme="minorHAnsi" w:cstheme="minorHAnsi"/>
        </w:rPr>
        <w:t xml:space="preserve"> </w:t>
      </w:r>
      <w:r w:rsidRPr="00392B1B">
        <w:rPr>
          <w:rFonts w:asciiTheme="minorHAnsi" w:hAnsiTheme="minorHAnsi" w:cstheme="minorHAnsi"/>
          <w:i/>
          <w:iCs/>
        </w:rPr>
        <w:t>industry in developing countries by providing equity capital and other risk capital, loans or guarantees.</w:t>
      </w:r>
      <w:r>
        <w:rPr>
          <w:rFonts w:asciiTheme="minorHAnsi" w:hAnsiTheme="minorHAnsi" w:cstheme="minorHAnsi"/>
        </w:rPr>
        <w:t xml:space="preserve"> </w:t>
      </w:r>
      <w:r w:rsidRPr="00392B1B">
        <w:rPr>
          <w:rFonts w:asciiTheme="minorHAnsi" w:hAnsiTheme="minorHAnsi" w:cstheme="minorHAnsi"/>
          <w:i/>
          <w:iCs/>
        </w:rPr>
        <w:t>The object is to establish viable, profitable undertakings that would not otherwise be initiated because of</w:t>
      </w:r>
      <w:r>
        <w:rPr>
          <w:rFonts w:asciiTheme="minorHAnsi" w:hAnsiTheme="minorHAnsi" w:cstheme="minorHAnsi"/>
        </w:rPr>
        <w:t xml:space="preserve"> </w:t>
      </w:r>
      <w:r w:rsidRPr="00392B1B">
        <w:rPr>
          <w:rFonts w:asciiTheme="minorHAnsi" w:hAnsiTheme="minorHAnsi" w:cstheme="minorHAnsi"/>
          <w:i/>
          <w:iCs/>
        </w:rPr>
        <w:t>the high risk involved».</w:t>
      </w:r>
    </w:p>
    <w:p w14:paraId="00AAB8D0" w14:textId="77777777" w:rsidR="00392B1B" w:rsidRPr="00392B1B" w:rsidRDefault="00392B1B" w:rsidP="00C760A2">
      <w:pPr>
        <w:jc w:val="both"/>
        <w:rPr>
          <w:rFonts w:asciiTheme="minorHAnsi" w:hAnsiTheme="minorHAnsi" w:cstheme="minorHAnsi"/>
        </w:rPr>
      </w:pPr>
      <w:r w:rsidRPr="00392B1B">
        <w:rPr>
          <w:rFonts w:asciiTheme="minorHAnsi" w:hAnsiTheme="minorHAnsi" w:cstheme="minorHAnsi"/>
        </w:rPr>
        <w:t xml:space="preserve">Norfund`s mission is to create jobs, improve lives and support the transition to net zero, by investing in businesses that drive sustainable development. Through this we support development and poverty reduction in developing countries. This implies taking risks both by investing in high-risk countries and in enterprises that on the time of investment are not necessarily meeting the standards required by Norfund as a professional investor. Of the capital provided from The Ministry of foreign affairs, 25% is allocated as loss provision. Norfund’s license to operate can be threatened by a lack of achievement of Norfund’s development goals as well as failing to act as a responsible investor. Norfund </w:t>
      </w:r>
      <w:proofErr w:type="gramStart"/>
      <w:r w:rsidRPr="00392B1B">
        <w:rPr>
          <w:rFonts w:asciiTheme="minorHAnsi" w:hAnsiTheme="minorHAnsi" w:cstheme="minorHAnsi"/>
        </w:rPr>
        <w:t>has to</w:t>
      </w:r>
      <w:proofErr w:type="gramEnd"/>
      <w:r w:rsidRPr="00392B1B">
        <w:rPr>
          <w:rFonts w:asciiTheme="minorHAnsi" w:hAnsiTheme="minorHAnsi" w:cstheme="minorHAnsi"/>
        </w:rPr>
        <w:t xml:space="preserve"> manage a range of different risk factors.</w:t>
      </w:r>
    </w:p>
    <w:p w14:paraId="3080A3A2" w14:textId="77777777" w:rsidR="00392B1B" w:rsidRPr="00392B1B" w:rsidRDefault="00392B1B" w:rsidP="00C760A2">
      <w:pPr>
        <w:jc w:val="both"/>
        <w:rPr>
          <w:rFonts w:asciiTheme="minorHAnsi" w:hAnsiTheme="minorHAnsi" w:cstheme="minorHAnsi"/>
        </w:rPr>
      </w:pPr>
      <w:r w:rsidRPr="00392B1B">
        <w:rPr>
          <w:rFonts w:asciiTheme="minorHAnsi" w:hAnsiTheme="minorHAnsi" w:cstheme="minorHAnsi"/>
        </w:rPr>
        <w:t xml:space="preserve">Certain risk factors cannot be mitigated and </w:t>
      </w:r>
      <w:proofErr w:type="gramStart"/>
      <w:r w:rsidRPr="00392B1B">
        <w:rPr>
          <w:rFonts w:asciiTheme="minorHAnsi" w:hAnsiTheme="minorHAnsi" w:cstheme="minorHAnsi"/>
        </w:rPr>
        <w:t>have to</w:t>
      </w:r>
      <w:proofErr w:type="gramEnd"/>
      <w:r w:rsidRPr="00392B1B">
        <w:rPr>
          <w:rFonts w:asciiTheme="minorHAnsi" w:hAnsiTheme="minorHAnsi" w:cstheme="minorHAnsi"/>
        </w:rPr>
        <w:t xml:space="preserve"> be accepted through the nature of the investments taken on. Other risk factors </w:t>
      </w:r>
      <w:proofErr w:type="gramStart"/>
      <w:r w:rsidRPr="00392B1B">
        <w:rPr>
          <w:rFonts w:asciiTheme="minorHAnsi" w:hAnsiTheme="minorHAnsi" w:cstheme="minorHAnsi"/>
        </w:rPr>
        <w:t>have to</w:t>
      </w:r>
      <w:proofErr w:type="gramEnd"/>
      <w:r w:rsidRPr="00392B1B">
        <w:rPr>
          <w:rFonts w:asciiTheme="minorHAnsi" w:hAnsiTheme="minorHAnsi" w:cstheme="minorHAnsi"/>
        </w:rPr>
        <w:t xml:space="preserve"> be accompanied with a clearly defined line of action in order to be reduced.</w:t>
      </w:r>
    </w:p>
    <w:p w14:paraId="4060B647" w14:textId="49E96009" w:rsidR="00DC2E4D" w:rsidRDefault="00392B1B" w:rsidP="00C760A2">
      <w:pPr>
        <w:spacing w:line="23" w:lineRule="atLeast"/>
        <w:jc w:val="both"/>
        <w:rPr>
          <w:rFonts w:asciiTheme="minorHAnsi" w:hAnsiTheme="minorHAnsi" w:cstheme="minorHAnsi"/>
        </w:rPr>
      </w:pPr>
      <w:r w:rsidRPr="00392B1B">
        <w:rPr>
          <w:rFonts w:asciiTheme="minorHAnsi" w:hAnsiTheme="minorHAnsi" w:cstheme="minorHAnsi"/>
        </w:rPr>
        <w:t xml:space="preserve">All major risks must be </w:t>
      </w:r>
      <w:r w:rsidRPr="00392B1B">
        <w:rPr>
          <w:rFonts w:asciiTheme="minorHAnsi" w:hAnsiTheme="minorHAnsi" w:cstheme="minorHAnsi"/>
          <w:b/>
          <w:bCs/>
        </w:rPr>
        <w:t xml:space="preserve">understood, </w:t>
      </w:r>
      <w:proofErr w:type="gramStart"/>
      <w:r w:rsidRPr="00392B1B">
        <w:rPr>
          <w:rFonts w:asciiTheme="minorHAnsi" w:hAnsiTheme="minorHAnsi" w:cstheme="minorHAnsi"/>
          <w:b/>
          <w:bCs/>
        </w:rPr>
        <w:t>managed</w:t>
      </w:r>
      <w:proofErr w:type="gramEnd"/>
      <w:r w:rsidRPr="00392B1B">
        <w:rPr>
          <w:rFonts w:asciiTheme="minorHAnsi" w:hAnsiTheme="minorHAnsi" w:cstheme="minorHAnsi"/>
          <w:b/>
          <w:bCs/>
        </w:rPr>
        <w:t xml:space="preserve"> and mitigated</w:t>
      </w:r>
      <w:r w:rsidRPr="00392B1B">
        <w:rPr>
          <w:rFonts w:asciiTheme="minorHAnsi" w:hAnsiTheme="minorHAnsi" w:cstheme="minorHAnsi"/>
        </w:rPr>
        <w:t xml:space="preserve"> in a way that is fit for the purpose and scale</w:t>
      </w:r>
      <w:r w:rsidR="00B466E9">
        <w:rPr>
          <w:rFonts w:asciiTheme="minorHAnsi" w:hAnsiTheme="minorHAnsi" w:cstheme="minorHAnsi"/>
        </w:rPr>
        <w:t xml:space="preserve"> </w:t>
      </w:r>
      <w:r w:rsidRPr="00392B1B">
        <w:rPr>
          <w:rFonts w:asciiTheme="minorHAnsi" w:hAnsiTheme="minorHAnsi" w:cstheme="minorHAnsi"/>
        </w:rPr>
        <w:t>of Norfund as an organization. This applies for the risks we are willing to take as part of Norfund`s</w:t>
      </w:r>
      <w:r w:rsidR="00B466E9">
        <w:rPr>
          <w:rFonts w:asciiTheme="minorHAnsi" w:hAnsiTheme="minorHAnsi" w:cstheme="minorHAnsi"/>
        </w:rPr>
        <w:t xml:space="preserve"> </w:t>
      </w:r>
      <w:r w:rsidRPr="00392B1B">
        <w:rPr>
          <w:rFonts w:asciiTheme="minorHAnsi" w:hAnsiTheme="minorHAnsi" w:cstheme="minorHAnsi"/>
        </w:rPr>
        <w:t>mandate as well as risks related to how we operate and run our investment and other operational</w:t>
      </w:r>
      <w:r w:rsidR="00B466E9">
        <w:rPr>
          <w:rFonts w:asciiTheme="minorHAnsi" w:hAnsiTheme="minorHAnsi" w:cstheme="minorHAnsi"/>
        </w:rPr>
        <w:t xml:space="preserve"> </w:t>
      </w:r>
      <w:r w:rsidRPr="00392B1B">
        <w:rPr>
          <w:rFonts w:asciiTheme="minorHAnsi" w:hAnsiTheme="minorHAnsi" w:cstheme="minorHAnsi"/>
        </w:rPr>
        <w:t>processes where the risk tolerance is lower.</w:t>
      </w:r>
    </w:p>
    <w:p w14:paraId="5426C37F" w14:textId="19160AF2" w:rsidR="00DC2E4D" w:rsidRPr="00DC2E4D" w:rsidRDefault="00DC2E4D" w:rsidP="00C760A2">
      <w:p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The risks we are </w:t>
      </w:r>
      <w:r w:rsidRPr="00DC2E4D">
        <w:rPr>
          <w:rFonts w:asciiTheme="minorHAnsi" w:hAnsiTheme="minorHAnsi" w:cstheme="minorHAnsi"/>
          <w:b/>
          <w:bCs/>
        </w:rPr>
        <w:t xml:space="preserve">willing to take </w:t>
      </w:r>
      <w:r w:rsidRPr="00DC2E4D">
        <w:rPr>
          <w:rFonts w:asciiTheme="minorHAnsi" w:hAnsiTheme="minorHAnsi" w:cstheme="minorHAnsi"/>
        </w:rPr>
        <w:t xml:space="preserve">are primarily about </w:t>
      </w:r>
      <w:r w:rsidRPr="00DC2E4D">
        <w:rPr>
          <w:rFonts w:asciiTheme="minorHAnsi" w:hAnsiTheme="minorHAnsi" w:cstheme="minorHAnsi"/>
          <w:b/>
          <w:bCs/>
        </w:rPr>
        <w:t xml:space="preserve">where, in what and with whom we invest. </w:t>
      </w:r>
      <w:r w:rsidRPr="00DC2E4D">
        <w:rPr>
          <w:rFonts w:asciiTheme="minorHAnsi" w:hAnsiTheme="minorHAnsi" w:cstheme="minorHAnsi"/>
        </w:rPr>
        <w:t>This is essential to deliver on our development mandate:</w:t>
      </w:r>
    </w:p>
    <w:p w14:paraId="09A25F9A" w14:textId="77777777" w:rsidR="00DC2E4D" w:rsidRPr="00DC2E4D" w:rsidRDefault="00DC2E4D" w:rsidP="00C760A2">
      <w:pPr>
        <w:numPr>
          <w:ilvl w:val="0"/>
          <w:numId w:val="25"/>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Country &amp; political risk based on our mandate – such as in Sub-Saharan Africa and other </w:t>
      </w:r>
      <w:proofErr w:type="gramStart"/>
      <w:r w:rsidRPr="00DC2E4D">
        <w:rPr>
          <w:rFonts w:asciiTheme="minorHAnsi" w:hAnsiTheme="minorHAnsi" w:cstheme="minorHAnsi"/>
        </w:rPr>
        <w:t>LDCs</w:t>
      </w:r>
      <w:proofErr w:type="gramEnd"/>
    </w:p>
    <w:p w14:paraId="353A5450" w14:textId="77777777" w:rsidR="00DC2E4D" w:rsidRPr="00DC2E4D" w:rsidRDefault="00DC2E4D" w:rsidP="00C760A2">
      <w:pPr>
        <w:numPr>
          <w:ilvl w:val="0"/>
          <w:numId w:val="25"/>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Climate risk (physical and transition) that is inherent in our </w:t>
      </w:r>
      <w:proofErr w:type="gramStart"/>
      <w:r w:rsidRPr="00DC2E4D">
        <w:rPr>
          <w:rFonts w:asciiTheme="minorHAnsi" w:hAnsiTheme="minorHAnsi" w:cstheme="minorHAnsi"/>
        </w:rPr>
        <w:t>markets</w:t>
      </w:r>
      <w:proofErr w:type="gramEnd"/>
    </w:p>
    <w:p w14:paraId="19C151D6" w14:textId="77777777" w:rsidR="00DC2E4D" w:rsidRPr="00DC2E4D" w:rsidRDefault="00DC2E4D" w:rsidP="00C760A2">
      <w:pPr>
        <w:numPr>
          <w:ilvl w:val="0"/>
          <w:numId w:val="25"/>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Equity/financial risk to achieve sustainable development impact and positive financial </w:t>
      </w:r>
      <w:proofErr w:type="gramStart"/>
      <w:r w:rsidRPr="00DC2E4D">
        <w:rPr>
          <w:rFonts w:asciiTheme="minorHAnsi" w:hAnsiTheme="minorHAnsi" w:cstheme="minorHAnsi"/>
        </w:rPr>
        <w:t>return</w:t>
      </w:r>
      <w:proofErr w:type="gramEnd"/>
    </w:p>
    <w:p w14:paraId="286D513D" w14:textId="77777777" w:rsidR="00DC2E4D" w:rsidRPr="00DC2E4D" w:rsidRDefault="00DC2E4D" w:rsidP="00C760A2">
      <w:pPr>
        <w:numPr>
          <w:ilvl w:val="0"/>
          <w:numId w:val="25"/>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Currency risk including local currency </w:t>
      </w:r>
      <w:proofErr w:type="gramStart"/>
      <w:r w:rsidRPr="00DC2E4D">
        <w:rPr>
          <w:rFonts w:asciiTheme="minorHAnsi" w:hAnsiTheme="minorHAnsi" w:cstheme="minorHAnsi"/>
        </w:rPr>
        <w:t>exposures</w:t>
      </w:r>
      <w:proofErr w:type="gramEnd"/>
    </w:p>
    <w:p w14:paraId="04D26A7B" w14:textId="77777777" w:rsidR="00DC2E4D" w:rsidRPr="00DC2E4D" w:rsidRDefault="00DC2E4D" w:rsidP="00C760A2">
      <w:pPr>
        <w:numPr>
          <w:ilvl w:val="0"/>
          <w:numId w:val="25"/>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Risk in investing in greenfield projects, venture, </w:t>
      </w:r>
      <w:proofErr w:type="gramStart"/>
      <w:r w:rsidRPr="00DC2E4D">
        <w:rPr>
          <w:rFonts w:asciiTheme="minorHAnsi" w:hAnsiTheme="minorHAnsi" w:cstheme="minorHAnsi"/>
        </w:rPr>
        <w:t>SMEs</w:t>
      </w:r>
      <w:proofErr w:type="gramEnd"/>
      <w:r w:rsidRPr="00DC2E4D">
        <w:rPr>
          <w:rFonts w:asciiTheme="minorHAnsi" w:hAnsiTheme="minorHAnsi" w:cstheme="minorHAnsi"/>
        </w:rPr>
        <w:t xml:space="preserve"> and micro-finance</w:t>
      </w:r>
    </w:p>
    <w:p w14:paraId="174B9194" w14:textId="77777777" w:rsidR="00DC2E4D" w:rsidRPr="00DC2E4D" w:rsidRDefault="00DC2E4D" w:rsidP="00C760A2">
      <w:pPr>
        <w:numPr>
          <w:ilvl w:val="0"/>
          <w:numId w:val="25"/>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Exit risk by investing in equity, and equity </w:t>
      </w:r>
      <w:proofErr w:type="gramStart"/>
      <w:r w:rsidRPr="00DC2E4D">
        <w:rPr>
          <w:rFonts w:asciiTheme="minorHAnsi" w:hAnsiTheme="minorHAnsi" w:cstheme="minorHAnsi"/>
        </w:rPr>
        <w:t>funds</w:t>
      </w:r>
      <w:proofErr w:type="gramEnd"/>
    </w:p>
    <w:p w14:paraId="0E45CD33" w14:textId="1AB1FE04" w:rsidR="00DC2E4D" w:rsidRPr="00DC2E4D" w:rsidRDefault="00DC2E4D" w:rsidP="00C760A2">
      <w:pPr>
        <w:numPr>
          <w:ilvl w:val="0"/>
          <w:numId w:val="25"/>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First mover in new markets and sectors where the potential for development is </w:t>
      </w:r>
      <w:proofErr w:type="gramStart"/>
      <w:r w:rsidRPr="00DC2E4D">
        <w:rPr>
          <w:rFonts w:asciiTheme="minorHAnsi" w:hAnsiTheme="minorHAnsi" w:cstheme="minorHAnsi"/>
        </w:rPr>
        <w:t>high</w:t>
      </w:r>
      <w:proofErr w:type="gramEnd"/>
    </w:p>
    <w:p w14:paraId="6BCB212E" w14:textId="593D8D78" w:rsidR="00DC2E4D" w:rsidRDefault="00DC2E4D" w:rsidP="00C760A2">
      <w:p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We </w:t>
      </w:r>
      <w:r w:rsidRPr="00DC2E4D">
        <w:rPr>
          <w:rFonts w:asciiTheme="minorHAnsi" w:hAnsiTheme="minorHAnsi" w:cstheme="minorHAnsi"/>
          <w:b/>
          <w:bCs/>
        </w:rPr>
        <w:t xml:space="preserve">manage </w:t>
      </w:r>
      <w:r w:rsidRPr="00DC2E4D">
        <w:rPr>
          <w:rFonts w:asciiTheme="minorHAnsi" w:hAnsiTheme="minorHAnsi" w:cstheme="minorHAnsi"/>
        </w:rPr>
        <w:t>these risks by market insight, local presence, and portfolio diversification. Norfund seeks to have a diversified portfolio of countries, instruments, currencies and sectors, thereby being able to reduce the impact of adverse events in one or more markets. </w:t>
      </w:r>
    </w:p>
    <w:p w14:paraId="29691FF8" w14:textId="77777777" w:rsidR="00DC2E4D" w:rsidRPr="00DC2E4D" w:rsidRDefault="00DC2E4D" w:rsidP="00C760A2">
      <w:pPr>
        <w:autoSpaceDE w:val="0"/>
        <w:autoSpaceDN w:val="0"/>
        <w:adjustRightInd w:val="0"/>
        <w:spacing w:line="23" w:lineRule="atLeast"/>
        <w:jc w:val="both"/>
        <w:rPr>
          <w:rFonts w:asciiTheme="minorHAnsi" w:hAnsiTheme="minorHAnsi" w:cstheme="minorHAnsi"/>
        </w:rPr>
      </w:pPr>
    </w:p>
    <w:p w14:paraId="25269F71" w14:textId="64682306" w:rsidR="00DC2E4D" w:rsidRPr="00DC2E4D" w:rsidRDefault="00DC2E4D" w:rsidP="00C760A2">
      <w:p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lastRenderedPageBreak/>
        <w:t xml:space="preserve">The risks that we must </w:t>
      </w:r>
      <w:r w:rsidRPr="00DC2E4D">
        <w:rPr>
          <w:rFonts w:asciiTheme="minorHAnsi" w:hAnsiTheme="minorHAnsi" w:cstheme="minorHAnsi"/>
          <w:b/>
          <w:bCs/>
        </w:rPr>
        <w:t>seek to minimize to an acceptable level through mitigation, and if uncovered triggers an active response,  </w:t>
      </w:r>
      <w:r w:rsidRPr="00DC2E4D">
        <w:rPr>
          <w:rFonts w:asciiTheme="minorHAnsi" w:hAnsiTheme="minorHAnsi" w:cstheme="minorHAnsi"/>
        </w:rPr>
        <w:t xml:space="preserve">are primarily about </w:t>
      </w:r>
      <w:r w:rsidRPr="00DC2E4D">
        <w:rPr>
          <w:rFonts w:asciiTheme="minorHAnsi" w:hAnsiTheme="minorHAnsi" w:cstheme="minorHAnsi"/>
          <w:b/>
          <w:bCs/>
        </w:rPr>
        <w:t>how we operate and run our investment and other operational processes</w:t>
      </w:r>
      <w:r w:rsidRPr="00DC2E4D">
        <w:rPr>
          <w:rFonts w:asciiTheme="minorHAnsi" w:hAnsiTheme="minorHAnsi" w:cstheme="minorHAnsi"/>
        </w:rPr>
        <w:t>. This enables us to responsibly and prudently take on the risk appetite implicit in our mandate.</w:t>
      </w:r>
    </w:p>
    <w:p w14:paraId="19F12FAA" w14:textId="77777777" w:rsidR="00DC2E4D" w:rsidRPr="00DC2E4D" w:rsidRDefault="00DC2E4D" w:rsidP="00C760A2">
      <w:pPr>
        <w:numPr>
          <w:ilvl w:val="0"/>
          <w:numId w:val="26"/>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Business integrity risk, including appropriate governance structures and zero tolerance for </w:t>
      </w:r>
      <w:proofErr w:type="gramStart"/>
      <w:r w:rsidRPr="00DC2E4D">
        <w:rPr>
          <w:rFonts w:asciiTheme="minorHAnsi" w:hAnsiTheme="minorHAnsi" w:cstheme="minorHAnsi"/>
        </w:rPr>
        <w:t>corruption</w:t>
      </w:r>
      <w:proofErr w:type="gramEnd"/>
    </w:p>
    <w:p w14:paraId="54BE3A3D" w14:textId="77777777" w:rsidR="00DC2E4D" w:rsidRPr="00DC2E4D" w:rsidRDefault="00DC2E4D" w:rsidP="00C760A2">
      <w:pPr>
        <w:numPr>
          <w:ilvl w:val="0"/>
          <w:numId w:val="26"/>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Risks related to environmental, social and governance (ESG) compliance, as well as climate risk at investee </w:t>
      </w:r>
      <w:proofErr w:type="gramStart"/>
      <w:r w:rsidRPr="00DC2E4D">
        <w:rPr>
          <w:rFonts w:asciiTheme="minorHAnsi" w:hAnsiTheme="minorHAnsi" w:cstheme="minorHAnsi"/>
        </w:rPr>
        <w:t>level</w:t>
      </w:r>
      <w:proofErr w:type="gramEnd"/>
      <w:r w:rsidRPr="00DC2E4D">
        <w:rPr>
          <w:rFonts w:asciiTheme="minorHAnsi" w:hAnsiTheme="minorHAnsi" w:cstheme="minorHAnsi"/>
        </w:rPr>
        <w:t xml:space="preserve"> </w:t>
      </w:r>
    </w:p>
    <w:p w14:paraId="20CD19D1" w14:textId="77777777" w:rsidR="00DC2E4D" w:rsidRPr="00DC2E4D" w:rsidRDefault="00DC2E4D" w:rsidP="00C760A2">
      <w:pPr>
        <w:numPr>
          <w:ilvl w:val="0"/>
          <w:numId w:val="26"/>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Risks connected to the health, safety and wellbeing as well as security of our </w:t>
      </w:r>
      <w:proofErr w:type="gramStart"/>
      <w:r w:rsidRPr="00DC2E4D">
        <w:rPr>
          <w:rFonts w:asciiTheme="minorHAnsi" w:hAnsiTheme="minorHAnsi" w:cstheme="minorHAnsi"/>
        </w:rPr>
        <w:t>employees</w:t>
      </w:r>
      <w:proofErr w:type="gramEnd"/>
    </w:p>
    <w:p w14:paraId="776430BA" w14:textId="77777777" w:rsidR="00DC2E4D" w:rsidRPr="00DC2E4D" w:rsidRDefault="00DC2E4D" w:rsidP="00C760A2">
      <w:pPr>
        <w:numPr>
          <w:ilvl w:val="0"/>
          <w:numId w:val="26"/>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Security and integrity of our IT-systems</w:t>
      </w:r>
    </w:p>
    <w:p w14:paraId="304C9CAA" w14:textId="42CA8755" w:rsidR="00DC2E4D" w:rsidRPr="00DC2E4D" w:rsidRDefault="00DC2E4D" w:rsidP="00C760A2">
      <w:pPr>
        <w:numPr>
          <w:ilvl w:val="0"/>
          <w:numId w:val="26"/>
        </w:num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Integrity and reliability of our financial controls and payment systems</w:t>
      </w:r>
    </w:p>
    <w:p w14:paraId="58821D89" w14:textId="0622FDE1" w:rsidR="007F0545" w:rsidRDefault="00DC2E4D" w:rsidP="00C760A2">
      <w:pPr>
        <w:autoSpaceDE w:val="0"/>
        <w:autoSpaceDN w:val="0"/>
        <w:adjustRightInd w:val="0"/>
        <w:spacing w:line="23" w:lineRule="atLeast"/>
        <w:jc w:val="both"/>
        <w:rPr>
          <w:rFonts w:asciiTheme="minorHAnsi" w:hAnsiTheme="minorHAnsi" w:cstheme="minorHAnsi"/>
        </w:rPr>
      </w:pPr>
      <w:r w:rsidRPr="00DC2E4D">
        <w:rPr>
          <w:rFonts w:asciiTheme="minorHAnsi" w:hAnsiTheme="minorHAnsi" w:cstheme="minorHAnsi"/>
        </w:rPr>
        <w:t xml:space="preserve">We </w:t>
      </w:r>
      <w:r w:rsidRPr="00DC2E4D">
        <w:rPr>
          <w:rFonts w:asciiTheme="minorHAnsi" w:hAnsiTheme="minorHAnsi" w:cstheme="minorHAnsi"/>
          <w:b/>
          <w:bCs/>
        </w:rPr>
        <w:t xml:space="preserve">minimize </w:t>
      </w:r>
      <w:r w:rsidRPr="00DC2E4D">
        <w:rPr>
          <w:rFonts w:asciiTheme="minorHAnsi" w:hAnsiTheme="minorHAnsi" w:cstheme="minorHAnsi"/>
        </w:rPr>
        <w:t xml:space="preserve">these risks by designing and implementing appropriate systems and processes, regular training, contractual requirements, internal </w:t>
      </w:r>
      <w:proofErr w:type="gramStart"/>
      <w:r w:rsidRPr="00DC2E4D">
        <w:rPr>
          <w:rFonts w:asciiTheme="minorHAnsi" w:hAnsiTheme="minorHAnsi" w:cstheme="minorHAnsi"/>
        </w:rPr>
        <w:t>control</w:t>
      </w:r>
      <w:proofErr w:type="gramEnd"/>
      <w:r w:rsidRPr="00DC2E4D">
        <w:rPr>
          <w:rFonts w:asciiTheme="minorHAnsi" w:hAnsiTheme="minorHAnsi" w:cstheme="minorHAnsi"/>
        </w:rPr>
        <w:t xml:space="preserve"> and compliance.</w:t>
      </w:r>
    </w:p>
    <w:p w14:paraId="0772453B" w14:textId="77777777" w:rsidR="00DC2E4D" w:rsidRPr="003425FC" w:rsidRDefault="00DC2E4D" w:rsidP="00C760A2">
      <w:pPr>
        <w:autoSpaceDE w:val="0"/>
        <w:autoSpaceDN w:val="0"/>
        <w:adjustRightInd w:val="0"/>
        <w:spacing w:line="23" w:lineRule="atLeast"/>
        <w:jc w:val="both"/>
        <w:rPr>
          <w:rFonts w:asciiTheme="minorHAnsi" w:eastAsiaTheme="minorHAnsi" w:hAnsiTheme="minorHAnsi" w:cstheme="minorHAnsi"/>
          <w:color w:val="000000"/>
          <w:sz w:val="24"/>
          <w:szCs w:val="24"/>
          <w:lang w:bidi="ar-SA"/>
        </w:rPr>
      </w:pPr>
    </w:p>
    <w:p w14:paraId="66F8C434" w14:textId="15F57C69" w:rsidR="00C25B63" w:rsidRPr="003425FC" w:rsidRDefault="007F0545" w:rsidP="00C760A2">
      <w:pPr>
        <w:spacing w:line="23" w:lineRule="atLeast"/>
        <w:jc w:val="center"/>
        <w:rPr>
          <w:rFonts w:asciiTheme="minorHAnsi" w:hAnsiTheme="minorHAnsi" w:cstheme="minorHAnsi"/>
        </w:rPr>
      </w:pPr>
      <w:r w:rsidRPr="003425FC">
        <w:rPr>
          <w:rFonts w:asciiTheme="minorHAnsi" w:eastAsiaTheme="minorHAnsi" w:hAnsiTheme="minorHAnsi" w:cstheme="minorHAnsi"/>
          <w:color w:val="000000"/>
          <w:lang w:bidi="ar-SA"/>
        </w:rPr>
        <w:t>* * *</w:t>
      </w:r>
    </w:p>
    <w:sectPr w:rsidR="00C25B63" w:rsidRPr="003425F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B00A" w14:textId="77777777" w:rsidR="00947EB1" w:rsidRDefault="00947EB1" w:rsidP="00A50BBD">
      <w:pPr>
        <w:spacing w:after="0" w:line="240" w:lineRule="auto"/>
      </w:pPr>
      <w:r>
        <w:separator/>
      </w:r>
    </w:p>
  </w:endnote>
  <w:endnote w:type="continuationSeparator" w:id="0">
    <w:p w14:paraId="641F64DC" w14:textId="77777777" w:rsidR="00947EB1" w:rsidRDefault="00947EB1" w:rsidP="00A50BBD">
      <w:pPr>
        <w:spacing w:after="0" w:line="240" w:lineRule="auto"/>
      </w:pPr>
      <w:r>
        <w:continuationSeparator/>
      </w:r>
    </w:p>
  </w:endnote>
  <w:endnote w:type="continuationNotice" w:id="1">
    <w:p w14:paraId="2F3165C9" w14:textId="77777777" w:rsidR="00947EB1" w:rsidRDefault="00947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DA5F" w14:textId="77777777" w:rsidR="00392B1B" w:rsidRDefault="00392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79317"/>
      <w:docPartObj>
        <w:docPartGallery w:val="Page Numbers (Bottom of Page)"/>
        <w:docPartUnique/>
      </w:docPartObj>
    </w:sdtPr>
    <w:sdtEndPr/>
    <w:sdtContent>
      <w:sdt>
        <w:sdtPr>
          <w:id w:val="-1769616900"/>
          <w:docPartObj>
            <w:docPartGallery w:val="Page Numbers (Top of Page)"/>
            <w:docPartUnique/>
          </w:docPartObj>
        </w:sdtPr>
        <w:sdtEndPr/>
        <w:sdtContent>
          <w:p w14:paraId="2EBC7645" w14:textId="2DF19EE9" w:rsidR="007F0545" w:rsidRDefault="007F05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B1A576" w14:textId="77777777" w:rsidR="007F0545" w:rsidRDefault="007F0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DC3B" w14:textId="77777777" w:rsidR="00392B1B" w:rsidRDefault="0039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2B54" w14:textId="77777777" w:rsidR="00947EB1" w:rsidRDefault="00947EB1" w:rsidP="00A50BBD">
      <w:pPr>
        <w:spacing w:after="0" w:line="240" w:lineRule="auto"/>
      </w:pPr>
      <w:r>
        <w:separator/>
      </w:r>
    </w:p>
  </w:footnote>
  <w:footnote w:type="continuationSeparator" w:id="0">
    <w:p w14:paraId="6199A441" w14:textId="77777777" w:rsidR="00947EB1" w:rsidRDefault="00947EB1" w:rsidP="00A50BBD">
      <w:pPr>
        <w:spacing w:after="0" w:line="240" w:lineRule="auto"/>
      </w:pPr>
      <w:r>
        <w:continuationSeparator/>
      </w:r>
    </w:p>
  </w:footnote>
  <w:footnote w:type="continuationNotice" w:id="1">
    <w:p w14:paraId="39F4017C" w14:textId="77777777" w:rsidR="00947EB1" w:rsidRDefault="00947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8CE5" w14:textId="77777777" w:rsidR="00392B1B" w:rsidRDefault="00392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1E0" w:firstRow="1" w:lastRow="1" w:firstColumn="1" w:lastColumn="1" w:noHBand="0" w:noVBand="0"/>
    </w:tblPr>
    <w:tblGrid>
      <w:gridCol w:w="2241"/>
      <w:gridCol w:w="2149"/>
      <w:gridCol w:w="2409"/>
      <w:gridCol w:w="2217"/>
    </w:tblGrid>
    <w:tr w:rsidR="00A50BBD" w:rsidRPr="00A50BBD" w14:paraId="097B1C06" w14:textId="77777777" w:rsidTr="003E73B6">
      <w:tc>
        <w:tcPr>
          <w:tcW w:w="22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C5C1EF" w14:textId="2FCF5ACC" w:rsidR="00A50BBD" w:rsidRPr="00657503" w:rsidRDefault="00655147" w:rsidP="0030066D">
          <w:pPr>
            <w:pStyle w:val="Header"/>
            <w:spacing w:before="240"/>
            <w:jc w:val="center"/>
            <w:rPr>
              <w:color w:val="2F5496" w:themeColor="accent1" w:themeShade="BF"/>
              <w:sz w:val="28"/>
              <w:szCs w:val="28"/>
            </w:rPr>
          </w:pPr>
          <w:r>
            <w:rPr>
              <w:color w:val="2F5496" w:themeColor="accent1" w:themeShade="BF"/>
              <w:sz w:val="28"/>
              <w:szCs w:val="28"/>
            </w:rPr>
            <w:fldChar w:fldCharType="begin"/>
          </w:r>
          <w:r>
            <w:rPr>
              <w:color w:val="2F5496" w:themeColor="accent1" w:themeShade="BF"/>
              <w:sz w:val="28"/>
              <w:szCs w:val="28"/>
            </w:rPr>
            <w:instrText xml:space="preserve"> DOCPROPERTY  "MFiles_PG802F26D99BED4ACBB7033AABEC607156"  \* MERGEFORMAT </w:instrText>
          </w:r>
          <w:r>
            <w:rPr>
              <w:color w:val="2F5496" w:themeColor="accent1" w:themeShade="BF"/>
              <w:sz w:val="28"/>
              <w:szCs w:val="28"/>
            </w:rPr>
            <w:fldChar w:fldCharType="separate"/>
          </w:r>
          <w:r w:rsidR="00725FB0">
            <w:rPr>
              <w:color w:val="2F5496" w:themeColor="accent1" w:themeShade="BF"/>
              <w:sz w:val="28"/>
              <w:szCs w:val="28"/>
            </w:rPr>
            <w:t>Policy</w:t>
          </w:r>
          <w:r>
            <w:rPr>
              <w:color w:val="2F5496" w:themeColor="accent1" w:themeShade="BF"/>
              <w:sz w:val="28"/>
              <w:szCs w:val="28"/>
            </w:rPr>
            <w:fldChar w:fldCharType="end"/>
          </w:r>
        </w:p>
      </w:tc>
      <w:tc>
        <w:tcPr>
          <w:tcW w:w="4558" w:type="dxa"/>
          <w:gridSpan w:val="2"/>
          <w:tcBorders>
            <w:top w:val="single" w:sz="4" w:space="0" w:color="4472C4" w:themeColor="accent1"/>
            <w:left w:val="single" w:sz="4" w:space="0" w:color="4472C4" w:themeColor="accent1"/>
            <w:bottom w:val="single" w:sz="4" w:space="0" w:color="4472C4"/>
            <w:right w:val="single" w:sz="4" w:space="0" w:color="4472C4" w:themeColor="accent1"/>
          </w:tcBorders>
        </w:tcPr>
        <w:p w14:paraId="5BADBF92" w14:textId="77777777" w:rsidR="00A50BBD" w:rsidRPr="00C34291" w:rsidRDefault="3C114E07" w:rsidP="00A50BBD">
          <w:pPr>
            <w:pStyle w:val="Header"/>
            <w:jc w:val="center"/>
            <w:rPr>
              <w:color w:val="2F5496" w:themeColor="accent1" w:themeShade="BF"/>
              <w:lang w:val="en-GB"/>
            </w:rPr>
          </w:pPr>
          <w:r w:rsidRPr="00C34291">
            <w:rPr>
              <w:noProof/>
              <w:color w:val="2F5496" w:themeColor="accent1" w:themeShade="BF"/>
            </w:rPr>
            <w:drawing>
              <wp:inline distT="0" distB="0" distL="0" distR="0" wp14:anchorId="6794ECFE" wp14:editId="3C114E07">
                <wp:extent cx="1383957" cy="445012"/>
                <wp:effectExtent l="0" t="0" r="6985" b="0"/>
                <wp:docPr id="723654109" name="Picture 2" descr="M:\Norfund\ID2\2B292C8C-9E06-404F-A6BB-CD2EC19CB24F\0\205000-205999\205376\L\L\NORFUND logo small (ID 205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83957" cy="445012"/>
                        </a:xfrm>
                        <a:prstGeom prst="rect">
                          <a:avLst/>
                        </a:prstGeom>
                      </pic:spPr>
                    </pic:pic>
                  </a:graphicData>
                </a:graphic>
              </wp:inline>
            </w:drawing>
          </w:r>
        </w:p>
        <w:p w14:paraId="339B2466" w14:textId="77777777" w:rsidR="00A50BBD" w:rsidRPr="00C34291" w:rsidRDefault="00A50BBD" w:rsidP="00A50BBD">
          <w:pPr>
            <w:pStyle w:val="Header"/>
            <w:rPr>
              <w:color w:val="2F5496" w:themeColor="accent1" w:themeShade="BF"/>
              <w:lang w:val="en-GB"/>
            </w:rPr>
          </w:pPr>
        </w:p>
      </w:tc>
      <w:tc>
        <w:tcPr>
          <w:tcW w:w="22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D02728" w14:textId="77777777" w:rsidR="00A50BBD" w:rsidRPr="00C34291" w:rsidRDefault="00A50BBD" w:rsidP="00A50BBD">
          <w:pPr>
            <w:pStyle w:val="Header"/>
            <w:rPr>
              <w:color w:val="2F5496" w:themeColor="accent1" w:themeShade="BF"/>
            </w:rPr>
          </w:pPr>
        </w:p>
      </w:tc>
    </w:tr>
    <w:tr w:rsidR="00C34291" w:rsidRPr="00A50BBD" w14:paraId="2D997F57" w14:textId="77777777" w:rsidTr="003E73B6">
      <w:tc>
        <w:tcPr>
          <w:tcW w:w="22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EEDAA2" w14:textId="5D7C74D0" w:rsidR="00C34291" w:rsidRPr="00C34291" w:rsidRDefault="003E73B6" w:rsidP="00A50BBD">
          <w:pPr>
            <w:pStyle w:val="Header"/>
            <w:rPr>
              <w:b/>
              <w:color w:val="2F5496" w:themeColor="accent1" w:themeShade="BF"/>
            </w:rPr>
          </w:pPr>
          <w:r>
            <w:rPr>
              <w:b/>
              <w:color w:val="2F5496" w:themeColor="accent1" w:themeShade="BF"/>
            </w:rPr>
            <w:t>I</w:t>
          </w:r>
          <w:r w:rsidR="00C34291" w:rsidRPr="00C34291">
            <w:rPr>
              <w:b/>
              <w:color w:val="2F5496" w:themeColor="accent1" w:themeShade="BF"/>
            </w:rPr>
            <w:t>ssued by:</w:t>
          </w:r>
        </w:p>
      </w:tc>
      <w:tc>
        <w:tcPr>
          <w:tcW w:w="2149" w:type="dxa"/>
          <w:tcBorders>
            <w:top w:val="single" w:sz="4" w:space="0" w:color="4472C4"/>
            <w:left w:val="single" w:sz="4" w:space="0" w:color="4472C4" w:themeColor="accent1"/>
            <w:bottom w:val="single" w:sz="4" w:space="0" w:color="4472C4" w:themeColor="accent1"/>
          </w:tcBorders>
        </w:tcPr>
        <w:p w14:paraId="30466B7E" w14:textId="588936B3" w:rsidR="00C34291" w:rsidRPr="00C34291" w:rsidRDefault="003E73B6" w:rsidP="00A50BBD">
          <w:pPr>
            <w:pStyle w:val="Header"/>
            <w:rPr>
              <w:b/>
              <w:color w:val="2F5496" w:themeColor="accent1" w:themeShade="BF"/>
            </w:rPr>
          </w:pPr>
          <w:r>
            <w:rPr>
              <w:b/>
              <w:color w:val="2F5496" w:themeColor="accent1" w:themeShade="BF"/>
            </w:rPr>
            <w:t>A</w:t>
          </w:r>
          <w:r w:rsidR="00C34291" w:rsidRPr="00C34291">
            <w:rPr>
              <w:b/>
              <w:color w:val="2F5496" w:themeColor="accent1" w:themeShade="BF"/>
            </w:rPr>
            <w:t>pproved by:</w:t>
          </w:r>
        </w:p>
      </w:tc>
      <w:tc>
        <w:tcPr>
          <w:tcW w:w="2409" w:type="dxa"/>
          <w:tcBorders>
            <w:top w:val="single" w:sz="4" w:space="0" w:color="4472C4"/>
            <w:bottom w:val="single" w:sz="4" w:space="0" w:color="4472C4" w:themeColor="accent1"/>
            <w:right w:val="single" w:sz="4" w:space="0" w:color="4472C4" w:themeColor="accent1"/>
          </w:tcBorders>
        </w:tcPr>
        <w:p w14:paraId="1896972B" w14:textId="77777777" w:rsidR="00C34291" w:rsidRPr="00C34291" w:rsidRDefault="00C34291" w:rsidP="00A50BBD">
          <w:pPr>
            <w:pStyle w:val="Header"/>
            <w:rPr>
              <w:b/>
              <w:color w:val="2F5496" w:themeColor="accent1" w:themeShade="BF"/>
              <w:lang w:val="en-GB"/>
            </w:rPr>
          </w:pPr>
          <w:r w:rsidRPr="00C34291">
            <w:rPr>
              <w:b/>
              <w:color w:val="2F5496" w:themeColor="accent1" w:themeShade="BF"/>
              <w:lang w:val="en-GB"/>
            </w:rPr>
            <w:t>Originally issued:</w:t>
          </w:r>
        </w:p>
      </w:tc>
      <w:tc>
        <w:tcPr>
          <w:tcW w:w="22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B5D42C" w14:textId="77777777" w:rsidR="00C34291" w:rsidRPr="00C34291" w:rsidRDefault="00C34291" w:rsidP="00A50BBD">
          <w:pPr>
            <w:pStyle w:val="Header"/>
            <w:rPr>
              <w:b/>
              <w:color w:val="2F5496" w:themeColor="accent1" w:themeShade="BF"/>
              <w:lang w:val="en-GB"/>
            </w:rPr>
          </w:pPr>
          <w:r w:rsidRPr="00C34291">
            <w:rPr>
              <w:b/>
              <w:color w:val="2F5496" w:themeColor="accent1" w:themeShade="BF"/>
              <w:lang w:val="en-GB"/>
            </w:rPr>
            <w:t>Revision date:</w:t>
          </w:r>
        </w:p>
      </w:tc>
    </w:tr>
    <w:tr w:rsidR="00C34291" w:rsidRPr="00A50BBD" w14:paraId="50DA73AF" w14:textId="77777777" w:rsidTr="00D918E2">
      <w:tc>
        <w:tcPr>
          <w:tcW w:w="22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B7010C" w14:textId="7950E169" w:rsidR="00C34291" w:rsidRPr="00A50BBD" w:rsidRDefault="00903B8E" w:rsidP="00903B8E">
          <w:pPr>
            <w:pStyle w:val="Header"/>
            <w:tabs>
              <w:tab w:val="clear" w:pos="4513"/>
              <w:tab w:val="clear" w:pos="9026"/>
              <w:tab w:val="right" w:pos="2025"/>
            </w:tabs>
            <w:rPr>
              <w:lang w:val="en-GB"/>
            </w:rPr>
          </w:pPr>
          <w:r>
            <w:rPr>
              <w:lang w:val="en-GB"/>
            </w:rPr>
            <w:t>Legal</w:t>
          </w:r>
          <w:r w:rsidR="00A277EE">
            <w:rPr>
              <w:lang w:val="en-GB"/>
            </w:rPr>
            <w:t xml:space="preserve"> department</w:t>
          </w:r>
        </w:p>
      </w:tc>
      <w:tc>
        <w:tcPr>
          <w:tcW w:w="2149" w:type="dxa"/>
          <w:tcBorders>
            <w:top w:val="single" w:sz="4" w:space="0" w:color="4472C4" w:themeColor="accent1"/>
            <w:left w:val="single" w:sz="4" w:space="0" w:color="4472C4" w:themeColor="accent1"/>
            <w:bottom w:val="single" w:sz="4" w:space="0" w:color="4472C4" w:themeColor="accent1"/>
          </w:tcBorders>
        </w:tcPr>
        <w:p w14:paraId="2BB01E66" w14:textId="5D4D444A" w:rsidR="00C34291" w:rsidRPr="00A50BBD" w:rsidRDefault="00903B8E" w:rsidP="00A50BBD">
          <w:pPr>
            <w:pStyle w:val="Header"/>
            <w:rPr>
              <w:lang w:val="en-GB"/>
            </w:rPr>
          </w:pPr>
          <w:r>
            <w:rPr>
              <w:lang w:val="en-GB"/>
            </w:rPr>
            <w:t>Board of Directors</w:t>
          </w:r>
        </w:p>
      </w:tc>
      <w:tc>
        <w:tcPr>
          <w:tcW w:w="2409" w:type="dxa"/>
          <w:tcBorders>
            <w:top w:val="single" w:sz="4" w:space="0" w:color="4472C4" w:themeColor="accent1"/>
            <w:bottom w:val="single" w:sz="4" w:space="0" w:color="4472C4" w:themeColor="accent1"/>
            <w:right w:val="single" w:sz="4" w:space="0" w:color="4472C4" w:themeColor="accent1"/>
          </w:tcBorders>
        </w:tcPr>
        <w:p w14:paraId="1E8AFE68" w14:textId="64440227" w:rsidR="00C34291" w:rsidRPr="00A50BBD" w:rsidRDefault="00A277EE" w:rsidP="00A50BBD">
          <w:pPr>
            <w:pStyle w:val="Header"/>
            <w:rPr>
              <w:lang w:val="en-GB"/>
            </w:rPr>
          </w:pPr>
          <w:r>
            <w:rPr>
              <w:lang w:val="en-GB"/>
            </w:rPr>
            <w:t>08.06.2021</w:t>
          </w:r>
        </w:p>
      </w:tc>
      <w:tc>
        <w:tcPr>
          <w:tcW w:w="22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E8B0FB" w14:textId="35650CA1" w:rsidR="00C34291" w:rsidRPr="00A50BBD" w:rsidRDefault="00A277EE" w:rsidP="00A50BBD">
          <w:pPr>
            <w:pStyle w:val="Header"/>
            <w:rPr>
              <w:lang w:val="en-GB"/>
            </w:rPr>
          </w:pPr>
          <w:r>
            <w:rPr>
              <w:lang w:val="en-GB"/>
            </w:rPr>
            <w:t>20.12.2022</w:t>
          </w:r>
        </w:p>
      </w:tc>
    </w:tr>
  </w:tbl>
  <w:p w14:paraId="643BF7ED" w14:textId="77777777" w:rsidR="00A50BBD" w:rsidRDefault="00A50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1C30" w14:textId="77777777" w:rsidR="00392B1B" w:rsidRDefault="00392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133"/>
    <w:multiLevelType w:val="hybridMultilevel"/>
    <w:tmpl w:val="A10E24F8"/>
    <w:lvl w:ilvl="0" w:tplc="66A6650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10B1A"/>
    <w:multiLevelType w:val="hybridMultilevel"/>
    <w:tmpl w:val="0F06B008"/>
    <w:lvl w:ilvl="0" w:tplc="AFFA85A8">
      <w:start w:val="1"/>
      <w:numFmt w:val="bullet"/>
      <w:lvlText w:val="•"/>
      <w:lvlJc w:val="left"/>
      <w:pPr>
        <w:tabs>
          <w:tab w:val="num" w:pos="720"/>
        </w:tabs>
        <w:ind w:left="720" w:hanging="360"/>
      </w:pPr>
      <w:rPr>
        <w:rFonts w:ascii="Arial" w:hAnsi="Arial" w:hint="default"/>
      </w:rPr>
    </w:lvl>
    <w:lvl w:ilvl="1" w:tplc="01F0D742" w:tentative="1">
      <w:start w:val="1"/>
      <w:numFmt w:val="bullet"/>
      <w:lvlText w:val="•"/>
      <w:lvlJc w:val="left"/>
      <w:pPr>
        <w:tabs>
          <w:tab w:val="num" w:pos="1440"/>
        </w:tabs>
        <w:ind w:left="1440" w:hanging="360"/>
      </w:pPr>
      <w:rPr>
        <w:rFonts w:ascii="Arial" w:hAnsi="Arial" w:hint="default"/>
      </w:rPr>
    </w:lvl>
    <w:lvl w:ilvl="2" w:tplc="90ACA674" w:tentative="1">
      <w:start w:val="1"/>
      <w:numFmt w:val="bullet"/>
      <w:lvlText w:val="•"/>
      <w:lvlJc w:val="left"/>
      <w:pPr>
        <w:tabs>
          <w:tab w:val="num" w:pos="2160"/>
        </w:tabs>
        <w:ind w:left="2160" w:hanging="360"/>
      </w:pPr>
      <w:rPr>
        <w:rFonts w:ascii="Arial" w:hAnsi="Arial" w:hint="default"/>
      </w:rPr>
    </w:lvl>
    <w:lvl w:ilvl="3" w:tplc="4B50A904" w:tentative="1">
      <w:start w:val="1"/>
      <w:numFmt w:val="bullet"/>
      <w:lvlText w:val="•"/>
      <w:lvlJc w:val="left"/>
      <w:pPr>
        <w:tabs>
          <w:tab w:val="num" w:pos="2880"/>
        </w:tabs>
        <w:ind w:left="2880" w:hanging="360"/>
      </w:pPr>
      <w:rPr>
        <w:rFonts w:ascii="Arial" w:hAnsi="Arial" w:hint="default"/>
      </w:rPr>
    </w:lvl>
    <w:lvl w:ilvl="4" w:tplc="9878D540" w:tentative="1">
      <w:start w:val="1"/>
      <w:numFmt w:val="bullet"/>
      <w:lvlText w:val="•"/>
      <w:lvlJc w:val="left"/>
      <w:pPr>
        <w:tabs>
          <w:tab w:val="num" w:pos="3600"/>
        </w:tabs>
        <w:ind w:left="3600" w:hanging="360"/>
      </w:pPr>
      <w:rPr>
        <w:rFonts w:ascii="Arial" w:hAnsi="Arial" w:hint="default"/>
      </w:rPr>
    </w:lvl>
    <w:lvl w:ilvl="5" w:tplc="932A609A" w:tentative="1">
      <w:start w:val="1"/>
      <w:numFmt w:val="bullet"/>
      <w:lvlText w:val="•"/>
      <w:lvlJc w:val="left"/>
      <w:pPr>
        <w:tabs>
          <w:tab w:val="num" w:pos="4320"/>
        </w:tabs>
        <w:ind w:left="4320" w:hanging="360"/>
      </w:pPr>
      <w:rPr>
        <w:rFonts w:ascii="Arial" w:hAnsi="Arial" w:hint="default"/>
      </w:rPr>
    </w:lvl>
    <w:lvl w:ilvl="6" w:tplc="8CF409D8" w:tentative="1">
      <w:start w:val="1"/>
      <w:numFmt w:val="bullet"/>
      <w:lvlText w:val="•"/>
      <w:lvlJc w:val="left"/>
      <w:pPr>
        <w:tabs>
          <w:tab w:val="num" w:pos="5040"/>
        </w:tabs>
        <w:ind w:left="5040" w:hanging="360"/>
      </w:pPr>
      <w:rPr>
        <w:rFonts w:ascii="Arial" w:hAnsi="Arial" w:hint="default"/>
      </w:rPr>
    </w:lvl>
    <w:lvl w:ilvl="7" w:tplc="05222CB4" w:tentative="1">
      <w:start w:val="1"/>
      <w:numFmt w:val="bullet"/>
      <w:lvlText w:val="•"/>
      <w:lvlJc w:val="left"/>
      <w:pPr>
        <w:tabs>
          <w:tab w:val="num" w:pos="5760"/>
        </w:tabs>
        <w:ind w:left="5760" w:hanging="360"/>
      </w:pPr>
      <w:rPr>
        <w:rFonts w:ascii="Arial" w:hAnsi="Arial" w:hint="default"/>
      </w:rPr>
    </w:lvl>
    <w:lvl w:ilvl="8" w:tplc="41BA05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8E2B56"/>
    <w:multiLevelType w:val="hybridMultilevel"/>
    <w:tmpl w:val="667054F6"/>
    <w:lvl w:ilvl="0" w:tplc="B284E254">
      <w:start w:val="1"/>
      <w:numFmt w:val="bullet"/>
      <w:lvlText w:val="•"/>
      <w:lvlJc w:val="left"/>
      <w:pPr>
        <w:tabs>
          <w:tab w:val="num" w:pos="720"/>
        </w:tabs>
        <w:ind w:left="720" w:hanging="360"/>
      </w:pPr>
      <w:rPr>
        <w:rFonts w:ascii="Arial" w:hAnsi="Arial" w:hint="default"/>
      </w:rPr>
    </w:lvl>
    <w:lvl w:ilvl="1" w:tplc="35B84DC8" w:tentative="1">
      <w:start w:val="1"/>
      <w:numFmt w:val="bullet"/>
      <w:lvlText w:val="•"/>
      <w:lvlJc w:val="left"/>
      <w:pPr>
        <w:tabs>
          <w:tab w:val="num" w:pos="1440"/>
        </w:tabs>
        <w:ind w:left="1440" w:hanging="360"/>
      </w:pPr>
      <w:rPr>
        <w:rFonts w:ascii="Arial" w:hAnsi="Arial" w:hint="default"/>
      </w:rPr>
    </w:lvl>
    <w:lvl w:ilvl="2" w:tplc="885C9744" w:tentative="1">
      <w:start w:val="1"/>
      <w:numFmt w:val="bullet"/>
      <w:lvlText w:val="•"/>
      <w:lvlJc w:val="left"/>
      <w:pPr>
        <w:tabs>
          <w:tab w:val="num" w:pos="2160"/>
        </w:tabs>
        <w:ind w:left="2160" w:hanging="360"/>
      </w:pPr>
      <w:rPr>
        <w:rFonts w:ascii="Arial" w:hAnsi="Arial" w:hint="default"/>
      </w:rPr>
    </w:lvl>
    <w:lvl w:ilvl="3" w:tplc="A04CEDDA" w:tentative="1">
      <w:start w:val="1"/>
      <w:numFmt w:val="bullet"/>
      <w:lvlText w:val="•"/>
      <w:lvlJc w:val="left"/>
      <w:pPr>
        <w:tabs>
          <w:tab w:val="num" w:pos="2880"/>
        </w:tabs>
        <w:ind w:left="2880" w:hanging="360"/>
      </w:pPr>
      <w:rPr>
        <w:rFonts w:ascii="Arial" w:hAnsi="Arial" w:hint="default"/>
      </w:rPr>
    </w:lvl>
    <w:lvl w:ilvl="4" w:tplc="8C2AD366" w:tentative="1">
      <w:start w:val="1"/>
      <w:numFmt w:val="bullet"/>
      <w:lvlText w:val="•"/>
      <w:lvlJc w:val="left"/>
      <w:pPr>
        <w:tabs>
          <w:tab w:val="num" w:pos="3600"/>
        </w:tabs>
        <w:ind w:left="3600" w:hanging="360"/>
      </w:pPr>
      <w:rPr>
        <w:rFonts w:ascii="Arial" w:hAnsi="Arial" w:hint="default"/>
      </w:rPr>
    </w:lvl>
    <w:lvl w:ilvl="5" w:tplc="74C05BD0" w:tentative="1">
      <w:start w:val="1"/>
      <w:numFmt w:val="bullet"/>
      <w:lvlText w:val="•"/>
      <w:lvlJc w:val="left"/>
      <w:pPr>
        <w:tabs>
          <w:tab w:val="num" w:pos="4320"/>
        </w:tabs>
        <w:ind w:left="4320" w:hanging="360"/>
      </w:pPr>
      <w:rPr>
        <w:rFonts w:ascii="Arial" w:hAnsi="Arial" w:hint="default"/>
      </w:rPr>
    </w:lvl>
    <w:lvl w:ilvl="6" w:tplc="8D846CBC" w:tentative="1">
      <w:start w:val="1"/>
      <w:numFmt w:val="bullet"/>
      <w:lvlText w:val="•"/>
      <w:lvlJc w:val="left"/>
      <w:pPr>
        <w:tabs>
          <w:tab w:val="num" w:pos="5040"/>
        </w:tabs>
        <w:ind w:left="5040" w:hanging="360"/>
      </w:pPr>
      <w:rPr>
        <w:rFonts w:ascii="Arial" w:hAnsi="Arial" w:hint="default"/>
      </w:rPr>
    </w:lvl>
    <w:lvl w:ilvl="7" w:tplc="D286118E" w:tentative="1">
      <w:start w:val="1"/>
      <w:numFmt w:val="bullet"/>
      <w:lvlText w:val="•"/>
      <w:lvlJc w:val="left"/>
      <w:pPr>
        <w:tabs>
          <w:tab w:val="num" w:pos="5760"/>
        </w:tabs>
        <w:ind w:left="5760" w:hanging="360"/>
      </w:pPr>
      <w:rPr>
        <w:rFonts w:ascii="Arial" w:hAnsi="Arial" w:hint="default"/>
      </w:rPr>
    </w:lvl>
    <w:lvl w:ilvl="8" w:tplc="B19C23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5611A"/>
    <w:multiLevelType w:val="hybridMultilevel"/>
    <w:tmpl w:val="852C7AAC"/>
    <w:lvl w:ilvl="0" w:tplc="D8C802E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F334D82"/>
    <w:multiLevelType w:val="hybridMultilevel"/>
    <w:tmpl w:val="3D962942"/>
    <w:lvl w:ilvl="0" w:tplc="247C2F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048DB"/>
    <w:multiLevelType w:val="hybridMultilevel"/>
    <w:tmpl w:val="702A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10E3C"/>
    <w:multiLevelType w:val="multilevel"/>
    <w:tmpl w:val="C9322758"/>
    <w:styleLink w:val="Style1"/>
    <w:lvl w:ilvl="0">
      <w:start w:val="1"/>
      <w:numFmt w:val="lowerLetter"/>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A112976"/>
    <w:multiLevelType w:val="hybridMultilevel"/>
    <w:tmpl w:val="14F670F8"/>
    <w:lvl w:ilvl="0" w:tplc="6BEE0B7C">
      <w:start w:val="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CA3B39"/>
    <w:multiLevelType w:val="hybridMultilevel"/>
    <w:tmpl w:val="F716C04A"/>
    <w:lvl w:ilvl="0" w:tplc="6B96F6D2">
      <w:start w:val="1"/>
      <w:numFmt w:val="decimal"/>
      <w:lvlText w:val="%1."/>
      <w:lvlJc w:val="left"/>
      <w:pPr>
        <w:ind w:left="839" w:hanging="361"/>
      </w:pPr>
      <w:rPr>
        <w:rFonts w:ascii="Arial" w:eastAsia="Arial" w:hAnsi="Arial" w:cs="Arial" w:hint="default"/>
        <w:b/>
        <w:spacing w:val="-1"/>
        <w:w w:val="100"/>
        <w:sz w:val="22"/>
        <w:szCs w:val="22"/>
      </w:rPr>
    </w:lvl>
    <w:lvl w:ilvl="1" w:tplc="DC565F7E">
      <w:numFmt w:val="bullet"/>
      <w:lvlText w:val=""/>
      <w:lvlJc w:val="left"/>
      <w:pPr>
        <w:ind w:left="2863" w:hanging="361"/>
      </w:pPr>
      <w:rPr>
        <w:rFonts w:ascii="Symbol" w:eastAsia="Symbol" w:hAnsi="Symbol" w:cs="Symbol" w:hint="default"/>
        <w:w w:val="100"/>
        <w:sz w:val="22"/>
        <w:szCs w:val="22"/>
      </w:rPr>
    </w:lvl>
    <w:lvl w:ilvl="2" w:tplc="DC0A1CA4">
      <w:numFmt w:val="bullet"/>
      <w:lvlText w:val="•"/>
      <w:lvlJc w:val="left"/>
      <w:pPr>
        <w:ind w:left="3738" w:hanging="361"/>
      </w:pPr>
      <w:rPr>
        <w:rFonts w:hint="default"/>
      </w:rPr>
    </w:lvl>
    <w:lvl w:ilvl="3" w:tplc="217E1FEA">
      <w:numFmt w:val="bullet"/>
      <w:lvlText w:val="•"/>
      <w:lvlJc w:val="left"/>
      <w:pPr>
        <w:ind w:left="4616" w:hanging="361"/>
      </w:pPr>
      <w:rPr>
        <w:rFonts w:hint="default"/>
      </w:rPr>
    </w:lvl>
    <w:lvl w:ilvl="4" w:tplc="D57EFC1A">
      <w:numFmt w:val="bullet"/>
      <w:lvlText w:val="•"/>
      <w:lvlJc w:val="left"/>
      <w:pPr>
        <w:ind w:left="5495" w:hanging="361"/>
      </w:pPr>
      <w:rPr>
        <w:rFonts w:hint="default"/>
      </w:rPr>
    </w:lvl>
    <w:lvl w:ilvl="5" w:tplc="09E60476">
      <w:numFmt w:val="bullet"/>
      <w:lvlText w:val="•"/>
      <w:lvlJc w:val="left"/>
      <w:pPr>
        <w:ind w:left="6373" w:hanging="361"/>
      </w:pPr>
      <w:rPr>
        <w:rFonts w:hint="default"/>
      </w:rPr>
    </w:lvl>
    <w:lvl w:ilvl="6" w:tplc="650E3D60">
      <w:numFmt w:val="bullet"/>
      <w:lvlText w:val="•"/>
      <w:lvlJc w:val="left"/>
      <w:pPr>
        <w:ind w:left="7252" w:hanging="361"/>
      </w:pPr>
      <w:rPr>
        <w:rFonts w:hint="default"/>
      </w:rPr>
    </w:lvl>
    <w:lvl w:ilvl="7" w:tplc="FB405606">
      <w:numFmt w:val="bullet"/>
      <w:lvlText w:val="•"/>
      <w:lvlJc w:val="left"/>
      <w:pPr>
        <w:ind w:left="8130" w:hanging="361"/>
      </w:pPr>
      <w:rPr>
        <w:rFonts w:hint="default"/>
      </w:rPr>
    </w:lvl>
    <w:lvl w:ilvl="8" w:tplc="BFD842B6">
      <w:numFmt w:val="bullet"/>
      <w:lvlText w:val="•"/>
      <w:lvlJc w:val="left"/>
      <w:pPr>
        <w:ind w:left="9009" w:hanging="361"/>
      </w:pPr>
      <w:rPr>
        <w:rFonts w:hint="default"/>
      </w:rPr>
    </w:lvl>
  </w:abstractNum>
  <w:abstractNum w:abstractNumId="9" w15:restartNumberingAfterBreak="0">
    <w:nsid w:val="32C72D95"/>
    <w:multiLevelType w:val="hybridMultilevel"/>
    <w:tmpl w:val="C6A08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350EE5"/>
    <w:multiLevelType w:val="multilevel"/>
    <w:tmpl w:val="3A068498"/>
    <w:lvl w:ilvl="0">
      <w:start w:val="3"/>
      <w:numFmt w:val="decimal"/>
      <w:lvlText w:val="%1."/>
      <w:lvlJc w:val="left"/>
      <w:pPr>
        <w:ind w:left="360" w:hanging="360"/>
      </w:pPr>
      <w:rPr>
        <w:rFonts w:hint="default"/>
      </w:rPr>
    </w:lvl>
    <w:lvl w:ilvl="1">
      <w:start w:val="1"/>
      <w:numFmt w:val="decimal"/>
      <w:lvlText w:val="%1.%2"/>
      <w:lvlJc w:val="left"/>
      <w:pPr>
        <w:ind w:left="705" w:hanging="705"/>
      </w:pPr>
      <w:rPr>
        <w:rFonts w:asciiTheme="minorHAnsi" w:hAnsiTheme="minorHAnsi" w:cstheme="minorHAnsi" w:hint="default"/>
        <w:b/>
        <w:bCs/>
        <w:color w:val="4472C4" w:themeColor="accent1"/>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3B0627D1"/>
    <w:multiLevelType w:val="multilevel"/>
    <w:tmpl w:val="C9322758"/>
    <w:numStyleLink w:val="Style1"/>
  </w:abstractNum>
  <w:abstractNum w:abstractNumId="12" w15:restartNumberingAfterBreak="0">
    <w:nsid w:val="46E57AAB"/>
    <w:multiLevelType w:val="hybridMultilevel"/>
    <w:tmpl w:val="85EE5DD0"/>
    <w:lvl w:ilvl="0" w:tplc="9970CDD4">
      <w:start w:val="1"/>
      <w:numFmt w:val="lowerLetter"/>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4AB83689"/>
    <w:multiLevelType w:val="hybridMultilevel"/>
    <w:tmpl w:val="85EE5DD0"/>
    <w:lvl w:ilvl="0" w:tplc="9970CDD4">
      <w:start w:val="1"/>
      <w:numFmt w:val="lowerLetter"/>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DC12D16"/>
    <w:multiLevelType w:val="hybridMultilevel"/>
    <w:tmpl w:val="BF605B54"/>
    <w:lvl w:ilvl="0" w:tplc="04140001">
      <w:start w:val="1"/>
      <w:numFmt w:val="bullet"/>
      <w:lvlText w:val=""/>
      <w:lvlJc w:val="left"/>
      <w:pPr>
        <w:ind w:left="644" w:hanging="360"/>
      </w:pPr>
      <w:rPr>
        <w:rFonts w:ascii="Symbol" w:hAnsi="Symbol" w:hint="default"/>
      </w:rPr>
    </w:lvl>
    <w:lvl w:ilvl="1" w:tplc="04140003">
      <w:start w:val="1"/>
      <w:numFmt w:val="bullet"/>
      <w:lvlText w:val="o"/>
      <w:lvlJc w:val="left"/>
      <w:pPr>
        <w:ind w:left="1364" w:hanging="360"/>
      </w:pPr>
      <w:rPr>
        <w:rFonts w:ascii="Courier New" w:hAnsi="Courier New" w:cs="Courier New" w:hint="default"/>
      </w:rPr>
    </w:lvl>
    <w:lvl w:ilvl="2" w:tplc="04140005">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5" w15:restartNumberingAfterBreak="0">
    <w:nsid w:val="4FBE61D2"/>
    <w:multiLevelType w:val="hybridMultilevel"/>
    <w:tmpl w:val="0A5CC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3F6EE9"/>
    <w:multiLevelType w:val="multilevel"/>
    <w:tmpl w:val="B4C2E54E"/>
    <w:lvl w:ilvl="0">
      <w:start w:val="1"/>
      <w:numFmt w:val="lowerLetter"/>
      <w:lvlText w:val="%1)"/>
      <w:lvlJc w:val="left"/>
      <w:pPr>
        <w:ind w:left="705" w:hanging="705"/>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5751888"/>
    <w:multiLevelType w:val="hybridMultilevel"/>
    <w:tmpl w:val="566002F6"/>
    <w:lvl w:ilvl="0" w:tplc="29AAA31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A81A43"/>
    <w:multiLevelType w:val="hybridMultilevel"/>
    <w:tmpl w:val="E81656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0D3236"/>
    <w:multiLevelType w:val="multilevel"/>
    <w:tmpl w:val="A6580600"/>
    <w:lvl w:ilvl="0">
      <w:start w:val="1"/>
      <w:numFmt w:val="decimal"/>
      <w:lvlText w:val="%1."/>
      <w:lvlJc w:val="left"/>
      <w:pPr>
        <w:ind w:left="360" w:hanging="360"/>
      </w:pPr>
      <w:rPr>
        <w:rFonts w:hint="default"/>
      </w:rPr>
    </w:lvl>
    <w:lvl w:ilvl="1">
      <w:start w:val="2"/>
      <w:numFmt w:val="decimal"/>
      <w:lvlText w:val="%1.%2"/>
      <w:lvlJc w:val="left"/>
      <w:pPr>
        <w:ind w:left="705" w:hanging="70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0" w15:restartNumberingAfterBreak="0">
    <w:nsid w:val="68B64FED"/>
    <w:multiLevelType w:val="multilevel"/>
    <w:tmpl w:val="C534D802"/>
    <w:lvl w:ilvl="0">
      <w:start w:val="1"/>
      <w:numFmt w:val="lowerLetter"/>
      <w:lvlText w:val="(%1)"/>
      <w:lvlJc w:val="left"/>
      <w:pPr>
        <w:tabs>
          <w:tab w:val="num" w:pos="791"/>
        </w:tabs>
        <w:ind w:left="791" w:hanging="851"/>
      </w:pPr>
      <w:rPr>
        <w:rFonts w:hint="default"/>
      </w:rPr>
    </w:lvl>
    <w:lvl w:ilvl="1">
      <w:start w:val="1"/>
      <w:numFmt w:val="lowerLetter"/>
      <w:lvlText w:val="%2."/>
      <w:lvlJc w:val="left"/>
      <w:pPr>
        <w:tabs>
          <w:tab w:val="num" w:pos="1380"/>
        </w:tabs>
        <w:ind w:left="1380" w:hanging="360"/>
      </w:pPr>
      <w:rPr>
        <w:rFonts w:hint="default"/>
      </w:rPr>
    </w:lvl>
    <w:lvl w:ilvl="2">
      <w:start w:val="1"/>
      <w:numFmt w:val="lowerRoman"/>
      <w:lvlText w:val="%3."/>
      <w:lvlJc w:val="right"/>
      <w:pPr>
        <w:tabs>
          <w:tab w:val="num" w:pos="2100"/>
        </w:tabs>
        <w:ind w:left="2100" w:hanging="180"/>
      </w:pPr>
      <w:rPr>
        <w:rFonts w:hint="default"/>
      </w:rPr>
    </w:lvl>
    <w:lvl w:ilvl="3">
      <w:start w:val="1"/>
      <w:numFmt w:val="decimal"/>
      <w:lvlText w:val="%4."/>
      <w:lvlJc w:val="left"/>
      <w:pPr>
        <w:tabs>
          <w:tab w:val="num" w:pos="2820"/>
        </w:tabs>
        <w:ind w:left="2820" w:hanging="360"/>
      </w:pPr>
      <w:rPr>
        <w:rFonts w:hint="default"/>
      </w:rPr>
    </w:lvl>
    <w:lvl w:ilvl="4">
      <w:start w:val="1"/>
      <w:numFmt w:val="lowerLetter"/>
      <w:lvlText w:val="%5."/>
      <w:lvlJc w:val="left"/>
      <w:pPr>
        <w:tabs>
          <w:tab w:val="num" w:pos="3540"/>
        </w:tabs>
        <w:ind w:left="3540" w:hanging="360"/>
      </w:pPr>
      <w:rPr>
        <w:rFonts w:hint="default"/>
      </w:rPr>
    </w:lvl>
    <w:lvl w:ilvl="5">
      <w:start w:val="1"/>
      <w:numFmt w:val="lowerRoman"/>
      <w:lvlText w:val="%6."/>
      <w:lvlJc w:val="right"/>
      <w:pPr>
        <w:tabs>
          <w:tab w:val="num" w:pos="4260"/>
        </w:tabs>
        <w:ind w:left="4260" w:hanging="180"/>
      </w:pPr>
      <w:rPr>
        <w:rFonts w:hint="default"/>
      </w:rPr>
    </w:lvl>
    <w:lvl w:ilvl="6">
      <w:start w:val="1"/>
      <w:numFmt w:val="decimal"/>
      <w:lvlText w:val="%7."/>
      <w:lvlJc w:val="left"/>
      <w:pPr>
        <w:tabs>
          <w:tab w:val="num" w:pos="4980"/>
        </w:tabs>
        <w:ind w:left="4980" w:hanging="360"/>
      </w:pPr>
      <w:rPr>
        <w:rFonts w:hint="default"/>
      </w:rPr>
    </w:lvl>
    <w:lvl w:ilvl="7">
      <w:start w:val="1"/>
      <w:numFmt w:val="lowerLetter"/>
      <w:lvlText w:val="%8."/>
      <w:lvlJc w:val="left"/>
      <w:pPr>
        <w:tabs>
          <w:tab w:val="num" w:pos="5700"/>
        </w:tabs>
        <w:ind w:left="5700" w:hanging="360"/>
      </w:pPr>
      <w:rPr>
        <w:rFonts w:hint="default"/>
      </w:rPr>
    </w:lvl>
    <w:lvl w:ilvl="8">
      <w:start w:val="1"/>
      <w:numFmt w:val="lowerRoman"/>
      <w:lvlText w:val="%9."/>
      <w:lvlJc w:val="right"/>
      <w:pPr>
        <w:tabs>
          <w:tab w:val="num" w:pos="6420"/>
        </w:tabs>
        <w:ind w:left="6420" w:hanging="180"/>
      </w:pPr>
      <w:rPr>
        <w:rFonts w:hint="default"/>
      </w:rPr>
    </w:lvl>
  </w:abstractNum>
  <w:abstractNum w:abstractNumId="21" w15:restartNumberingAfterBreak="0">
    <w:nsid w:val="68DE68E2"/>
    <w:multiLevelType w:val="multilevel"/>
    <w:tmpl w:val="3A068498"/>
    <w:lvl w:ilvl="0">
      <w:start w:val="3"/>
      <w:numFmt w:val="decimal"/>
      <w:lvlText w:val="%1."/>
      <w:lvlJc w:val="left"/>
      <w:pPr>
        <w:ind w:left="360" w:hanging="360"/>
      </w:pPr>
      <w:rPr>
        <w:rFonts w:hint="default"/>
      </w:rPr>
    </w:lvl>
    <w:lvl w:ilvl="1">
      <w:start w:val="1"/>
      <w:numFmt w:val="decimal"/>
      <w:lvlText w:val="%1.%2"/>
      <w:lvlJc w:val="left"/>
      <w:pPr>
        <w:ind w:left="705" w:hanging="705"/>
      </w:pPr>
      <w:rPr>
        <w:rFonts w:asciiTheme="minorHAnsi" w:hAnsiTheme="minorHAnsi" w:cstheme="minorHAnsi" w:hint="default"/>
        <w:b/>
        <w:bCs/>
        <w:color w:val="4472C4" w:themeColor="accent1"/>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73A24C3A"/>
    <w:multiLevelType w:val="hybridMultilevel"/>
    <w:tmpl w:val="1C28A23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7FAA004A"/>
    <w:multiLevelType w:val="hybridMultilevel"/>
    <w:tmpl w:val="A7C8153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43431706">
    <w:abstractNumId w:val="19"/>
  </w:num>
  <w:num w:numId="2" w16cid:durableId="673533612">
    <w:abstractNumId w:val="20"/>
  </w:num>
  <w:num w:numId="3" w16cid:durableId="1186672795">
    <w:abstractNumId w:val="6"/>
    <w:lvlOverride w:ilvl="0">
      <w:startOverride w:val="1"/>
      <w:lvl w:ilvl="0">
        <w:start w:val="1"/>
        <w:numFmt w:val="lowerLetter"/>
        <w:lvlText w:val="%1)"/>
        <w:lvlJc w:val="left"/>
        <w:pPr>
          <w:tabs>
            <w:tab w:val="num" w:pos="851"/>
          </w:tabs>
          <w:ind w:left="851" w:hanging="851"/>
        </w:pPr>
        <w:rPr>
          <w:rFonts w:asciiTheme="minorHAnsi" w:eastAsia="Times New Roman" w:hAnsiTheme="minorHAnsi" w:cstheme="minorHAnsi"/>
        </w:rPr>
      </w:lvl>
    </w:lvlOverride>
    <w:lvlOverride w:ilvl="1">
      <w:startOverride w:val="1"/>
      <w:lvl w:ilvl="1">
        <w:start w:val="1"/>
        <w:numFmt w:val="lowerLetter"/>
        <w:lvlText w:val="%2."/>
        <w:lvlJc w:val="left"/>
        <w:pPr>
          <w:tabs>
            <w:tab w:val="num" w:pos="1440"/>
          </w:tabs>
          <w:ind w:left="1440" w:hanging="360"/>
        </w:pPr>
        <w:rPr>
          <w:rFonts w:hint="default"/>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4" w16cid:durableId="308941690">
    <w:abstractNumId w:val="6"/>
  </w:num>
  <w:num w:numId="5" w16cid:durableId="1785879006">
    <w:abstractNumId w:val="11"/>
  </w:num>
  <w:num w:numId="6" w16cid:durableId="974678715">
    <w:abstractNumId w:val="13"/>
  </w:num>
  <w:num w:numId="7" w16cid:durableId="1728261140">
    <w:abstractNumId w:val="22"/>
  </w:num>
  <w:num w:numId="8" w16cid:durableId="845942082">
    <w:abstractNumId w:val="10"/>
  </w:num>
  <w:num w:numId="9" w16cid:durableId="1062217176">
    <w:abstractNumId w:val="7"/>
  </w:num>
  <w:num w:numId="10" w16cid:durableId="702874206">
    <w:abstractNumId w:val="16"/>
  </w:num>
  <w:num w:numId="11" w16cid:durableId="1366322955">
    <w:abstractNumId w:val="12"/>
  </w:num>
  <w:num w:numId="12" w16cid:durableId="1362560074">
    <w:abstractNumId w:val="21"/>
  </w:num>
  <w:num w:numId="13" w16cid:durableId="662778730">
    <w:abstractNumId w:val="0"/>
  </w:num>
  <w:num w:numId="14" w16cid:durableId="365910264">
    <w:abstractNumId w:val="3"/>
  </w:num>
  <w:num w:numId="15" w16cid:durableId="1915700931">
    <w:abstractNumId w:val="8"/>
  </w:num>
  <w:num w:numId="16" w16cid:durableId="1939096779">
    <w:abstractNumId w:val="14"/>
  </w:num>
  <w:num w:numId="17" w16cid:durableId="1352534689">
    <w:abstractNumId w:val="15"/>
  </w:num>
  <w:num w:numId="18" w16cid:durableId="817572588">
    <w:abstractNumId w:val="0"/>
  </w:num>
  <w:num w:numId="19" w16cid:durableId="1507866922">
    <w:abstractNumId w:val="9"/>
  </w:num>
  <w:num w:numId="20" w16cid:durableId="199754144">
    <w:abstractNumId w:val="17"/>
  </w:num>
  <w:num w:numId="21" w16cid:durableId="1234436324">
    <w:abstractNumId w:val="23"/>
  </w:num>
  <w:num w:numId="22" w16cid:durableId="2022469612">
    <w:abstractNumId w:val="5"/>
  </w:num>
  <w:num w:numId="23" w16cid:durableId="828669033">
    <w:abstractNumId w:val="4"/>
  </w:num>
  <w:num w:numId="24" w16cid:durableId="591010349">
    <w:abstractNumId w:val="18"/>
  </w:num>
  <w:num w:numId="25" w16cid:durableId="884027938">
    <w:abstractNumId w:val="1"/>
  </w:num>
  <w:num w:numId="26" w16cid:durableId="2078505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BD"/>
    <w:rsid w:val="0000139D"/>
    <w:rsid w:val="00003CE1"/>
    <w:rsid w:val="00005820"/>
    <w:rsid w:val="00005C0D"/>
    <w:rsid w:val="00014B0E"/>
    <w:rsid w:val="00023D3C"/>
    <w:rsid w:val="00024A5F"/>
    <w:rsid w:val="000252FC"/>
    <w:rsid w:val="00025E00"/>
    <w:rsid w:val="00033A35"/>
    <w:rsid w:val="00033BEE"/>
    <w:rsid w:val="00043C65"/>
    <w:rsid w:val="00044C24"/>
    <w:rsid w:val="00047A5D"/>
    <w:rsid w:val="00052D76"/>
    <w:rsid w:val="00053B66"/>
    <w:rsid w:val="000552A7"/>
    <w:rsid w:val="000553E9"/>
    <w:rsid w:val="000564C3"/>
    <w:rsid w:val="0005722C"/>
    <w:rsid w:val="00057C4B"/>
    <w:rsid w:val="00060C48"/>
    <w:rsid w:val="0006499B"/>
    <w:rsid w:val="000678E4"/>
    <w:rsid w:val="00067BEA"/>
    <w:rsid w:val="00070B21"/>
    <w:rsid w:val="0007641B"/>
    <w:rsid w:val="00081654"/>
    <w:rsid w:val="00082247"/>
    <w:rsid w:val="000823C9"/>
    <w:rsid w:val="0008505B"/>
    <w:rsid w:val="00086917"/>
    <w:rsid w:val="00090E86"/>
    <w:rsid w:val="00092AD2"/>
    <w:rsid w:val="00097821"/>
    <w:rsid w:val="000A0D54"/>
    <w:rsid w:val="000A1C24"/>
    <w:rsid w:val="000A48B6"/>
    <w:rsid w:val="000C1AB9"/>
    <w:rsid w:val="000C25F7"/>
    <w:rsid w:val="000C5AFD"/>
    <w:rsid w:val="000E20F3"/>
    <w:rsid w:val="000E2E5D"/>
    <w:rsid w:val="000E7616"/>
    <w:rsid w:val="0011214F"/>
    <w:rsid w:val="00115D8E"/>
    <w:rsid w:val="001206E2"/>
    <w:rsid w:val="00126FAC"/>
    <w:rsid w:val="00131166"/>
    <w:rsid w:val="00137ABD"/>
    <w:rsid w:val="00140928"/>
    <w:rsid w:val="00143655"/>
    <w:rsid w:val="001448CF"/>
    <w:rsid w:val="0014627F"/>
    <w:rsid w:val="001473E6"/>
    <w:rsid w:val="00150896"/>
    <w:rsid w:val="00153BE3"/>
    <w:rsid w:val="00156294"/>
    <w:rsid w:val="0016038E"/>
    <w:rsid w:val="00181D41"/>
    <w:rsid w:val="00182B8C"/>
    <w:rsid w:val="00184851"/>
    <w:rsid w:val="0019069C"/>
    <w:rsid w:val="00191463"/>
    <w:rsid w:val="00194CA5"/>
    <w:rsid w:val="00196EEB"/>
    <w:rsid w:val="001B562A"/>
    <w:rsid w:val="001B652B"/>
    <w:rsid w:val="001B66CC"/>
    <w:rsid w:val="001B6ED6"/>
    <w:rsid w:val="001C032C"/>
    <w:rsid w:val="001C24D6"/>
    <w:rsid w:val="001C7239"/>
    <w:rsid w:val="001D1E05"/>
    <w:rsid w:val="001D3ABD"/>
    <w:rsid w:val="001D48C0"/>
    <w:rsid w:val="001D7084"/>
    <w:rsid w:val="001E3901"/>
    <w:rsid w:val="001F100D"/>
    <w:rsid w:val="001F6390"/>
    <w:rsid w:val="001F6557"/>
    <w:rsid w:val="001F6BA1"/>
    <w:rsid w:val="0020448A"/>
    <w:rsid w:val="00205A5E"/>
    <w:rsid w:val="0021028E"/>
    <w:rsid w:val="00212A09"/>
    <w:rsid w:val="00222D02"/>
    <w:rsid w:val="0022367B"/>
    <w:rsid w:val="00225203"/>
    <w:rsid w:val="00230C77"/>
    <w:rsid w:val="002317B5"/>
    <w:rsid w:val="00232113"/>
    <w:rsid w:val="002335CD"/>
    <w:rsid w:val="002400F9"/>
    <w:rsid w:val="00245171"/>
    <w:rsid w:val="00245D37"/>
    <w:rsid w:val="00252447"/>
    <w:rsid w:val="00255357"/>
    <w:rsid w:val="00261158"/>
    <w:rsid w:val="00262A23"/>
    <w:rsid w:val="002734C6"/>
    <w:rsid w:val="00285D21"/>
    <w:rsid w:val="0029220B"/>
    <w:rsid w:val="002949A9"/>
    <w:rsid w:val="00295A96"/>
    <w:rsid w:val="00297536"/>
    <w:rsid w:val="002A1E93"/>
    <w:rsid w:val="002A4B0F"/>
    <w:rsid w:val="002B0EF9"/>
    <w:rsid w:val="002B105D"/>
    <w:rsid w:val="002B10DB"/>
    <w:rsid w:val="002C258D"/>
    <w:rsid w:val="002C30BC"/>
    <w:rsid w:val="002C4209"/>
    <w:rsid w:val="002C4708"/>
    <w:rsid w:val="002C6B0D"/>
    <w:rsid w:val="002C783B"/>
    <w:rsid w:val="002D07BE"/>
    <w:rsid w:val="002D0F43"/>
    <w:rsid w:val="002D7BC0"/>
    <w:rsid w:val="002E0AA1"/>
    <w:rsid w:val="002E55FD"/>
    <w:rsid w:val="002F16C9"/>
    <w:rsid w:val="002F27DE"/>
    <w:rsid w:val="002F4EA8"/>
    <w:rsid w:val="002F773F"/>
    <w:rsid w:val="0030066D"/>
    <w:rsid w:val="0030182C"/>
    <w:rsid w:val="00301AF1"/>
    <w:rsid w:val="0030393C"/>
    <w:rsid w:val="00305695"/>
    <w:rsid w:val="003070FA"/>
    <w:rsid w:val="003073A3"/>
    <w:rsid w:val="00312F74"/>
    <w:rsid w:val="00314EF3"/>
    <w:rsid w:val="00315678"/>
    <w:rsid w:val="00315E17"/>
    <w:rsid w:val="00316A7D"/>
    <w:rsid w:val="00316AB9"/>
    <w:rsid w:val="0032089D"/>
    <w:rsid w:val="00320B2E"/>
    <w:rsid w:val="0032232F"/>
    <w:rsid w:val="00323248"/>
    <w:rsid w:val="00323252"/>
    <w:rsid w:val="00323882"/>
    <w:rsid w:val="00325BC1"/>
    <w:rsid w:val="00340BDA"/>
    <w:rsid w:val="003425FC"/>
    <w:rsid w:val="00346E13"/>
    <w:rsid w:val="00347E4B"/>
    <w:rsid w:val="00352900"/>
    <w:rsid w:val="00353AE5"/>
    <w:rsid w:val="00355108"/>
    <w:rsid w:val="00355B6E"/>
    <w:rsid w:val="00355CDB"/>
    <w:rsid w:val="0035786C"/>
    <w:rsid w:val="00357A1A"/>
    <w:rsid w:val="00360761"/>
    <w:rsid w:val="003639AE"/>
    <w:rsid w:val="00372BFA"/>
    <w:rsid w:val="00372F13"/>
    <w:rsid w:val="00387D40"/>
    <w:rsid w:val="00392B1B"/>
    <w:rsid w:val="00393B23"/>
    <w:rsid w:val="0039405C"/>
    <w:rsid w:val="003948E1"/>
    <w:rsid w:val="00395119"/>
    <w:rsid w:val="00397292"/>
    <w:rsid w:val="00397EC9"/>
    <w:rsid w:val="003A090B"/>
    <w:rsid w:val="003A53AF"/>
    <w:rsid w:val="003A6086"/>
    <w:rsid w:val="003A7E54"/>
    <w:rsid w:val="003C4B84"/>
    <w:rsid w:val="003C5F1A"/>
    <w:rsid w:val="003D37F9"/>
    <w:rsid w:val="003D40F1"/>
    <w:rsid w:val="003D6FAD"/>
    <w:rsid w:val="003D7B2C"/>
    <w:rsid w:val="003E5F42"/>
    <w:rsid w:val="003E73B6"/>
    <w:rsid w:val="003E7B1F"/>
    <w:rsid w:val="003F4663"/>
    <w:rsid w:val="0040123B"/>
    <w:rsid w:val="004027CD"/>
    <w:rsid w:val="00403D9C"/>
    <w:rsid w:val="00405F34"/>
    <w:rsid w:val="0041014D"/>
    <w:rsid w:val="0042026D"/>
    <w:rsid w:val="0042163D"/>
    <w:rsid w:val="004233C1"/>
    <w:rsid w:val="00424465"/>
    <w:rsid w:val="004248DC"/>
    <w:rsid w:val="00426105"/>
    <w:rsid w:val="00426525"/>
    <w:rsid w:val="00426BF7"/>
    <w:rsid w:val="004301CB"/>
    <w:rsid w:val="00430B4C"/>
    <w:rsid w:val="00432A8D"/>
    <w:rsid w:val="00432D9D"/>
    <w:rsid w:val="00434632"/>
    <w:rsid w:val="0043596C"/>
    <w:rsid w:val="00436104"/>
    <w:rsid w:val="004370EA"/>
    <w:rsid w:val="00440375"/>
    <w:rsid w:val="00441CE9"/>
    <w:rsid w:val="0044792E"/>
    <w:rsid w:val="00451FA3"/>
    <w:rsid w:val="0046449D"/>
    <w:rsid w:val="004670D1"/>
    <w:rsid w:val="0046772E"/>
    <w:rsid w:val="004768FE"/>
    <w:rsid w:val="00491BA5"/>
    <w:rsid w:val="004949D1"/>
    <w:rsid w:val="00494D02"/>
    <w:rsid w:val="004967F9"/>
    <w:rsid w:val="0049797B"/>
    <w:rsid w:val="004A1C53"/>
    <w:rsid w:val="004A6899"/>
    <w:rsid w:val="004A717B"/>
    <w:rsid w:val="004B0319"/>
    <w:rsid w:val="004B4193"/>
    <w:rsid w:val="004B44EE"/>
    <w:rsid w:val="004B724E"/>
    <w:rsid w:val="004D14CF"/>
    <w:rsid w:val="004D5519"/>
    <w:rsid w:val="004D57EE"/>
    <w:rsid w:val="004D6248"/>
    <w:rsid w:val="004E1F45"/>
    <w:rsid w:val="004F1197"/>
    <w:rsid w:val="004F556F"/>
    <w:rsid w:val="004F62D8"/>
    <w:rsid w:val="00505CCF"/>
    <w:rsid w:val="005133E1"/>
    <w:rsid w:val="0051559A"/>
    <w:rsid w:val="00523361"/>
    <w:rsid w:val="00526944"/>
    <w:rsid w:val="00527023"/>
    <w:rsid w:val="00536468"/>
    <w:rsid w:val="00537A9C"/>
    <w:rsid w:val="00540223"/>
    <w:rsid w:val="00544244"/>
    <w:rsid w:val="0055329C"/>
    <w:rsid w:val="0055443D"/>
    <w:rsid w:val="005550B2"/>
    <w:rsid w:val="0055592A"/>
    <w:rsid w:val="0056092B"/>
    <w:rsid w:val="00564CCC"/>
    <w:rsid w:val="005654AF"/>
    <w:rsid w:val="0056675F"/>
    <w:rsid w:val="00571F3C"/>
    <w:rsid w:val="00572ECB"/>
    <w:rsid w:val="0058017E"/>
    <w:rsid w:val="00581BBA"/>
    <w:rsid w:val="00582259"/>
    <w:rsid w:val="00592F13"/>
    <w:rsid w:val="00593B90"/>
    <w:rsid w:val="00594138"/>
    <w:rsid w:val="00597C4D"/>
    <w:rsid w:val="005B0856"/>
    <w:rsid w:val="005B32EE"/>
    <w:rsid w:val="005B3F95"/>
    <w:rsid w:val="005B57CA"/>
    <w:rsid w:val="005B5B90"/>
    <w:rsid w:val="005B7E3E"/>
    <w:rsid w:val="005C0F95"/>
    <w:rsid w:val="005C665A"/>
    <w:rsid w:val="005D34D7"/>
    <w:rsid w:val="005D7B63"/>
    <w:rsid w:val="005E04B0"/>
    <w:rsid w:val="005E1F7A"/>
    <w:rsid w:val="005E3B84"/>
    <w:rsid w:val="005E3E8D"/>
    <w:rsid w:val="005F42CB"/>
    <w:rsid w:val="005F654A"/>
    <w:rsid w:val="00614722"/>
    <w:rsid w:val="00623E74"/>
    <w:rsid w:val="0062452D"/>
    <w:rsid w:val="006329F4"/>
    <w:rsid w:val="00637115"/>
    <w:rsid w:val="006427F7"/>
    <w:rsid w:val="00643EED"/>
    <w:rsid w:val="00645508"/>
    <w:rsid w:val="00646177"/>
    <w:rsid w:val="00654CD8"/>
    <w:rsid w:val="00655147"/>
    <w:rsid w:val="00656990"/>
    <w:rsid w:val="00657008"/>
    <w:rsid w:val="00657048"/>
    <w:rsid w:val="00657503"/>
    <w:rsid w:val="00667B8F"/>
    <w:rsid w:val="00671291"/>
    <w:rsid w:val="006742D4"/>
    <w:rsid w:val="00674E63"/>
    <w:rsid w:val="00675537"/>
    <w:rsid w:val="00676CB1"/>
    <w:rsid w:val="00682C4E"/>
    <w:rsid w:val="0068543B"/>
    <w:rsid w:val="00690FE2"/>
    <w:rsid w:val="00695D2E"/>
    <w:rsid w:val="00696362"/>
    <w:rsid w:val="00696DBE"/>
    <w:rsid w:val="006B001F"/>
    <w:rsid w:val="006B190A"/>
    <w:rsid w:val="006B2F65"/>
    <w:rsid w:val="006B37E8"/>
    <w:rsid w:val="006B6177"/>
    <w:rsid w:val="006C0B44"/>
    <w:rsid w:val="006C1B9E"/>
    <w:rsid w:val="006C657B"/>
    <w:rsid w:val="006E2435"/>
    <w:rsid w:val="006E5590"/>
    <w:rsid w:val="006E7A42"/>
    <w:rsid w:val="006F5465"/>
    <w:rsid w:val="006F6991"/>
    <w:rsid w:val="00706696"/>
    <w:rsid w:val="007068B0"/>
    <w:rsid w:val="00710D60"/>
    <w:rsid w:val="00711040"/>
    <w:rsid w:val="00712CDF"/>
    <w:rsid w:val="00722CFD"/>
    <w:rsid w:val="00725FB0"/>
    <w:rsid w:val="00730A5E"/>
    <w:rsid w:val="00730E36"/>
    <w:rsid w:val="00734CA9"/>
    <w:rsid w:val="00736DDA"/>
    <w:rsid w:val="007407EE"/>
    <w:rsid w:val="00740C56"/>
    <w:rsid w:val="00752653"/>
    <w:rsid w:val="0075527F"/>
    <w:rsid w:val="0075701A"/>
    <w:rsid w:val="00760169"/>
    <w:rsid w:val="00763E53"/>
    <w:rsid w:val="0076566E"/>
    <w:rsid w:val="00771DF0"/>
    <w:rsid w:val="007736D5"/>
    <w:rsid w:val="00783883"/>
    <w:rsid w:val="00785D40"/>
    <w:rsid w:val="00786220"/>
    <w:rsid w:val="00790476"/>
    <w:rsid w:val="007918F9"/>
    <w:rsid w:val="00791B57"/>
    <w:rsid w:val="00792739"/>
    <w:rsid w:val="007A4687"/>
    <w:rsid w:val="007A7FA9"/>
    <w:rsid w:val="007B16F3"/>
    <w:rsid w:val="007B4319"/>
    <w:rsid w:val="007C33BA"/>
    <w:rsid w:val="007C4990"/>
    <w:rsid w:val="007D18F8"/>
    <w:rsid w:val="007D3B52"/>
    <w:rsid w:val="007E1BBE"/>
    <w:rsid w:val="007E1F86"/>
    <w:rsid w:val="007E7856"/>
    <w:rsid w:val="007F0545"/>
    <w:rsid w:val="007F1AD4"/>
    <w:rsid w:val="007F2A96"/>
    <w:rsid w:val="007F48F1"/>
    <w:rsid w:val="0080017C"/>
    <w:rsid w:val="00810DB8"/>
    <w:rsid w:val="008117C9"/>
    <w:rsid w:val="0081410E"/>
    <w:rsid w:val="00820142"/>
    <w:rsid w:val="00822553"/>
    <w:rsid w:val="00825496"/>
    <w:rsid w:val="0083482E"/>
    <w:rsid w:val="00841466"/>
    <w:rsid w:val="00842F9E"/>
    <w:rsid w:val="0084415A"/>
    <w:rsid w:val="008456C6"/>
    <w:rsid w:val="008558F6"/>
    <w:rsid w:val="008619B8"/>
    <w:rsid w:val="0086610C"/>
    <w:rsid w:val="00872C31"/>
    <w:rsid w:val="00874B5B"/>
    <w:rsid w:val="00877511"/>
    <w:rsid w:val="0088035F"/>
    <w:rsid w:val="008834FF"/>
    <w:rsid w:val="00887A54"/>
    <w:rsid w:val="008902FF"/>
    <w:rsid w:val="008919DF"/>
    <w:rsid w:val="008979D7"/>
    <w:rsid w:val="008A0CD6"/>
    <w:rsid w:val="008A4C35"/>
    <w:rsid w:val="008A4CF4"/>
    <w:rsid w:val="008B013F"/>
    <w:rsid w:val="008B4195"/>
    <w:rsid w:val="008B4320"/>
    <w:rsid w:val="008B7321"/>
    <w:rsid w:val="008C31B9"/>
    <w:rsid w:val="008C7B06"/>
    <w:rsid w:val="008D0F12"/>
    <w:rsid w:val="008D1307"/>
    <w:rsid w:val="008D2686"/>
    <w:rsid w:val="008D2760"/>
    <w:rsid w:val="008D390C"/>
    <w:rsid w:val="008D7662"/>
    <w:rsid w:val="008E4A34"/>
    <w:rsid w:val="008E6F3B"/>
    <w:rsid w:val="008F54F2"/>
    <w:rsid w:val="008F6058"/>
    <w:rsid w:val="0090262D"/>
    <w:rsid w:val="00903B8E"/>
    <w:rsid w:val="009102DE"/>
    <w:rsid w:val="009108F9"/>
    <w:rsid w:val="00910E7D"/>
    <w:rsid w:val="0091158B"/>
    <w:rsid w:val="009164F0"/>
    <w:rsid w:val="00923559"/>
    <w:rsid w:val="0092607B"/>
    <w:rsid w:val="009260AA"/>
    <w:rsid w:val="0092642A"/>
    <w:rsid w:val="009339E4"/>
    <w:rsid w:val="00935576"/>
    <w:rsid w:val="00936D23"/>
    <w:rsid w:val="009439A7"/>
    <w:rsid w:val="00947EB1"/>
    <w:rsid w:val="00950165"/>
    <w:rsid w:val="0095667D"/>
    <w:rsid w:val="00965A4D"/>
    <w:rsid w:val="00971174"/>
    <w:rsid w:val="00971442"/>
    <w:rsid w:val="009720CD"/>
    <w:rsid w:val="0097329F"/>
    <w:rsid w:val="00973B40"/>
    <w:rsid w:val="00974ECD"/>
    <w:rsid w:val="00977B7F"/>
    <w:rsid w:val="009814F9"/>
    <w:rsid w:val="009829C6"/>
    <w:rsid w:val="009829DF"/>
    <w:rsid w:val="009840D8"/>
    <w:rsid w:val="009843C9"/>
    <w:rsid w:val="00985974"/>
    <w:rsid w:val="0098633E"/>
    <w:rsid w:val="00990CA4"/>
    <w:rsid w:val="009914E1"/>
    <w:rsid w:val="00991970"/>
    <w:rsid w:val="009929DE"/>
    <w:rsid w:val="00997693"/>
    <w:rsid w:val="009A76B8"/>
    <w:rsid w:val="009C102A"/>
    <w:rsid w:val="009C6C1D"/>
    <w:rsid w:val="009D733A"/>
    <w:rsid w:val="009E154B"/>
    <w:rsid w:val="009E188C"/>
    <w:rsid w:val="009E3AF1"/>
    <w:rsid w:val="009E713D"/>
    <w:rsid w:val="009E7367"/>
    <w:rsid w:val="009F2956"/>
    <w:rsid w:val="009F365D"/>
    <w:rsid w:val="00A04CFA"/>
    <w:rsid w:val="00A055BE"/>
    <w:rsid w:val="00A07C56"/>
    <w:rsid w:val="00A17C0E"/>
    <w:rsid w:val="00A23461"/>
    <w:rsid w:val="00A247E4"/>
    <w:rsid w:val="00A24E12"/>
    <w:rsid w:val="00A26B50"/>
    <w:rsid w:val="00A277EE"/>
    <w:rsid w:val="00A309A2"/>
    <w:rsid w:val="00A32E96"/>
    <w:rsid w:val="00A3452F"/>
    <w:rsid w:val="00A41F38"/>
    <w:rsid w:val="00A435B6"/>
    <w:rsid w:val="00A455A3"/>
    <w:rsid w:val="00A45823"/>
    <w:rsid w:val="00A46960"/>
    <w:rsid w:val="00A50BBD"/>
    <w:rsid w:val="00A52D96"/>
    <w:rsid w:val="00A54BEF"/>
    <w:rsid w:val="00A709E3"/>
    <w:rsid w:val="00A718D5"/>
    <w:rsid w:val="00A745EF"/>
    <w:rsid w:val="00A76C6D"/>
    <w:rsid w:val="00A846AA"/>
    <w:rsid w:val="00A90467"/>
    <w:rsid w:val="00A90828"/>
    <w:rsid w:val="00A938E1"/>
    <w:rsid w:val="00AA13A1"/>
    <w:rsid w:val="00AA2950"/>
    <w:rsid w:val="00AA39B9"/>
    <w:rsid w:val="00AC2E2E"/>
    <w:rsid w:val="00AD5563"/>
    <w:rsid w:val="00AD6D65"/>
    <w:rsid w:val="00AE27F0"/>
    <w:rsid w:val="00AE2BC2"/>
    <w:rsid w:val="00AE338A"/>
    <w:rsid w:val="00AE76FF"/>
    <w:rsid w:val="00AF23AE"/>
    <w:rsid w:val="00AF3131"/>
    <w:rsid w:val="00AF319E"/>
    <w:rsid w:val="00B2138D"/>
    <w:rsid w:val="00B25484"/>
    <w:rsid w:val="00B30D21"/>
    <w:rsid w:val="00B32EED"/>
    <w:rsid w:val="00B3368A"/>
    <w:rsid w:val="00B33913"/>
    <w:rsid w:val="00B342CB"/>
    <w:rsid w:val="00B3501C"/>
    <w:rsid w:val="00B3528B"/>
    <w:rsid w:val="00B36C17"/>
    <w:rsid w:val="00B36F70"/>
    <w:rsid w:val="00B40BB2"/>
    <w:rsid w:val="00B45673"/>
    <w:rsid w:val="00B45BC5"/>
    <w:rsid w:val="00B466E9"/>
    <w:rsid w:val="00B50914"/>
    <w:rsid w:val="00B547B7"/>
    <w:rsid w:val="00B56812"/>
    <w:rsid w:val="00B604F4"/>
    <w:rsid w:val="00B60D8A"/>
    <w:rsid w:val="00B701EA"/>
    <w:rsid w:val="00B74312"/>
    <w:rsid w:val="00B75849"/>
    <w:rsid w:val="00B7663E"/>
    <w:rsid w:val="00B81C1F"/>
    <w:rsid w:val="00B827FE"/>
    <w:rsid w:val="00B834AC"/>
    <w:rsid w:val="00B83A12"/>
    <w:rsid w:val="00B85745"/>
    <w:rsid w:val="00B9103C"/>
    <w:rsid w:val="00B91DCD"/>
    <w:rsid w:val="00B93E9D"/>
    <w:rsid w:val="00B97968"/>
    <w:rsid w:val="00BA1EE9"/>
    <w:rsid w:val="00BB29DC"/>
    <w:rsid w:val="00BB3475"/>
    <w:rsid w:val="00BB5AF8"/>
    <w:rsid w:val="00BB63BF"/>
    <w:rsid w:val="00BB7D0A"/>
    <w:rsid w:val="00BC0D08"/>
    <w:rsid w:val="00BC4064"/>
    <w:rsid w:val="00BC6431"/>
    <w:rsid w:val="00BC7EC5"/>
    <w:rsid w:val="00BD68EA"/>
    <w:rsid w:val="00BD69D2"/>
    <w:rsid w:val="00BE1199"/>
    <w:rsid w:val="00BE2B5F"/>
    <w:rsid w:val="00BE755A"/>
    <w:rsid w:val="00BF131B"/>
    <w:rsid w:val="00C07673"/>
    <w:rsid w:val="00C108A5"/>
    <w:rsid w:val="00C14F51"/>
    <w:rsid w:val="00C20FDE"/>
    <w:rsid w:val="00C25659"/>
    <w:rsid w:val="00C25B63"/>
    <w:rsid w:val="00C264B1"/>
    <w:rsid w:val="00C27E33"/>
    <w:rsid w:val="00C34291"/>
    <w:rsid w:val="00C4028E"/>
    <w:rsid w:val="00C42419"/>
    <w:rsid w:val="00C45DBC"/>
    <w:rsid w:val="00C50987"/>
    <w:rsid w:val="00C50E69"/>
    <w:rsid w:val="00C5198F"/>
    <w:rsid w:val="00C532BF"/>
    <w:rsid w:val="00C61C81"/>
    <w:rsid w:val="00C63595"/>
    <w:rsid w:val="00C67ECF"/>
    <w:rsid w:val="00C70DC1"/>
    <w:rsid w:val="00C75356"/>
    <w:rsid w:val="00C760A2"/>
    <w:rsid w:val="00C81D23"/>
    <w:rsid w:val="00C82FAE"/>
    <w:rsid w:val="00C871BB"/>
    <w:rsid w:val="00C916CF"/>
    <w:rsid w:val="00C918E0"/>
    <w:rsid w:val="00C974FC"/>
    <w:rsid w:val="00CA2E02"/>
    <w:rsid w:val="00CB0B28"/>
    <w:rsid w:val="00CB1168"/>
    <w:rsid w:val="00CB2650"/>
    <w:rsid w:val="00CB318F"/>
    <w:rsid w:val="00CB7D7E"/>
    <w:rsid w:val="00CC2B79"/>
    <w:rsid w:val="00CC51E3"/>
    <w:rsid w:val="00CD3E76"/>
    <w:rsid w:val="00CD6B97"/>
    <w:rsid w:val="00CD7322"/>
    <w:rsid w:val="00CD7CDB"/>
    <w:rsid w:val="00CE3E60"/>
    <w:rsid w:val="00CE7CEC"/>
    <w:rsid w:val="00CF1D23"/>
    <w:rsid w:val="00CF410F"/>
    <w:rsid w:val="00CF4141"/>
    <w:rsid w:val="00CF7E5F"/>
    <w:rsid w:val="00D03509"/>
    <w:rsid w:val="00D13300"/>
    <w:rsid w:val="00D134BD"/>
    <w:rsid w:val="00D17F19"/>
    <w:rsid w:val="00D2005C"/>
    <w:rsid w:val="00D22CA6"/>
    <w:rsid w:val="00D31159"/>
    <w:rsid w:val="00D3244D"/>
    <w:rsid w:val="00D34664"/>
    <w:rsid w:val="00D44CC3"/>
    <w:rsid w:val="00D466FA"/>
    <w:rsid w:val="00D46A65"/>
    <w:rsid w:val="00D525DA"/>
    <w:rsid w:val="00D5357A"/>
    <w:rsid w:val="00D55989"/>
    <w:rsid w:val="00D77512"/>
    <w:rsid w:val="00D77E10"/>
    <w:rsid w:val="00D918E2"/>
    <w:rsid w:val="00D91DE7"/>
    <w:rsid w:val="00D92B08"/>
    <w:rsid w:val="00D947D9"/>
    <w:rsid w:val="00DB2972"/>
    <w:rsid w:val="00DB5755"/>
    <w:rsid w:val="00DB672D"/>
    <w:rsid w:val="00DB7762"/>
    <w:rsid w:val="00DC2E4D"/>
    <w:rsid w:val="00DC328A"/>
    <w:rsid w:val="00DC3C5B"/>
    <w:rsid w:val="00DD04B2"/>
    <w:rsid w:val="00DD27FF"/>
    <w:rsid w:val="00DD43ED"/>
    <w:rsid w:val="00DD4702"/>
    <w:rsid w:val="00DD708E"/>
    <w:rsid w:val="00DE5242"/>
    <w:rsid w:val="00DF3158"/>
    <w:rsid w:val="00DF4544"/>
    <w:rsid w:val="00DF64A7"/>
    <w:rsid w:val="00E00E1D"/>
    <w:rsid w:val="00E072B2"/>
    <w:rsid w:val="00E12AD6"/>
    <w:rsid w:val="00E1473B"/>
    <w:rsid w:val="00E265A0"/>
    <w:rsid w:val="00E339AE"/>
    <w:rsid w:val="00E34E26"/>
    <w:rsid w:val="00E351A7"/>
    <w:rsid w:val="00E35434"/>
    <w:rsid w:val="00E3546A"/>
    <w:rsid w:val="00E37263"/>
    <w:rsid w:val="00E40E02"/>
    <w:rsid w:val="00E45DB6"/>
    <w:rsid w:val="00E57B26"/>
    <w:rsid w:val="00E636FB"/>
    <w:rsid w:val="00E71CD3"/>
    <w:rsid w:val="00E731C8"/>
    <w:rsid w:val="00E732C3"/>
    <w:rsid w:val="00E74193"/>
    <w:rsid w:val="00E85489"/>
    <w:rsid w:val="00E86ED5"/>
    <w:rsid w:val="00E94461"/>
    <w:rsid w:val="00EB0A40"/>
    <w:rsid w:val="00EB0D3C"/>
    <w:rsid w:val="00EC011C"/>
    <w:rsid w:val="00EC58EC"/>
    <w:rsid w:val="00ED4569"/>
    <w:rsid w:val="00EE1E67"/>
    <w:rsid w:val="00EE6901"/>
    <w:rsid w:val="00EF1216"/>
    <w:rsid w:val="00EF1E78"/>
    <w:rsid w:val="00EF50BB"/>
    <w:rsid w:val="00EF5ECA"/>
    <w:rsid w:val="00F051EE"/>
    <w:rsid w:val="00F0603E"/>
    <w:rsid w:val="00F10EE7"/>
    <w:rsid w:val="00F11F45"/>
    <w:rsid w:val="00F13139"/>
    <w:rsid w:val="00F16CBE"/>
    <w:rsid w:val="00F30744"/>
    <w:rsid w:val="00F30E32"/>
    <w:rsid w:val="00F36735"/>
    <w:rsid w:val="00F37883"/>
    <w:rsid w:val="00F41A59"/>
    <w:rsid w:val="00F41FBD"/>
    <w:rsid w:val="00F4496F"/>
    <w:rsid w:val="00F50B5C"/>
    <w:rsid w:val="00F53D10"/>
    <w:rsid w:val="00F53F85"/>
    <w:rsid w:val="00F622DC"/>
    <w:rsid w:val="00F741EA"/>
    <w:rsid w:val="00F8199F"/>
    <w:rsid w:val="00F8417A"/>
    <w:rsid w:val="00F85A19"/>
    <w:rsid w:val="00F90268"/>
    <w:rsid w:val="00F9798C"/>
    <w:rsid w:val="00FA2642"/>
    <w:rsid w:val="00FB3BCB"/>
    <w:rsid w:val="00FB5706"/>
    <w:rsid w:val="00FC634B"/>
    <w:rsid w:val="00FC6430"/>
    <w:rsid w:val="00FD03A4"/>
    <w:rsid w:val="00FD6D71"/>
    <w:rsid w:val="00FE1521"/>
    <w:rsid w:val="00FE22EF"/>
    <w:rsid w:val="00FE3BFC"/>
    <w:rsid w:val="00FE7F86"/>
    <w:rsid w:val="00FF2723"/>
    <w:rsid w:val="00FF5F51"/>
    <w:rsid w:val="2B2215DD"/>
    <w:rsid w:val="3C114E0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D535"/>
  <w15:chartTrackingRefBased/>
  <w15:docId w15:val="{9A1C1B63-D67B-4DEF-910E-7A16B146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BD"/>
    <w:pPr>
      <w:spacing w:after="200" w:line="276" w:lineRule="auto"/>
    </w:pPr>
    <w:rPr>
      <w:rFonts w:ascii="Calibri" w:eastAsia="Times New Roman" w:hAnsi="Calibri" w:cs="Mangal"/>
      <w:lang w:val="en-US" w:bidi="en-US"/>
    </w:rPr>
  </w:style>
  <w:style w:type="paragraph" w:styleId="Heading1">
    <w:name w:val="heading 1"/>
    <w:basedOn w:val="Normal"/>
    <w:next w:val="Normal"/>
    <w:link w:val="Heading1Char"/>
    <w:uiPriority w:val="9"/>
    <w:qFormat/>
    <w:rsid w:val="00092AD2"/>
    <w:pPr>
      <w:keepNext/>
      <w:keepLines/>
      <w:numPr>
        <w:numId w:val="13"/>
      </w:numPr>
      <w:spacing w:before="24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E7A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5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50BBD"/>
    <w:rPr>
      <w:b/>
      <w:bCs/>
    </w:rPr>
  </w:style>
  <w:style w:type="paragraph" w:styleId="Header">
    <w:name w:val="header"/>
    <w:basedOn w:val="Normal"/>
    <w:link w:val="HeaderChar"/>
    <w:uiPriority w:val="99"/>
    <w:unhideWhenUsed/>
    <w:rsid w:val="00A50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BBD"/>
    <w:rPr>
      <w:rFonts w:ascii="Calibri" w:eastAsia="Times New Roman" w:hAnsi="Calibri" w:cs="Mangal"/>
      <w:lang w:val="en-US" w:bidi="en-US"/>
    </w:rPr>
  </w:style>
  <w:style w:type="paragraph" w:styleId="Footer">
    <w:name w:val="footer"/>
    <w:basedOn w:val="Normal"/>
    <w:link w:val="FooterChar"/>
    <w:uiPriority w:val="99"/>
    <w:unhideWhenUsed/>
    <w:rsid w:val="00A50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BBD"/>
    <w:rPr>
      <w:rFonts w:ascii="Calibri" w:eastAsia="Times New Roman" w:hAnsi="Calibri" w:cs="Mangal"/>
      <w:lang w:val="en-US" w:bidi="en-US"/>
    </w:rPr>
  </w:style>
  <w:style w:type="table" w:styleId="TableGrid">
    <w:name w:val="Table Grid"/>
    <w:basedOn w:val="TableNormal"/>
    <w:rsid w:val="00A50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2AD2"/>
    <w:rPr>
      <w:rFonts w:ascii="Cambria" w:eastAsia="Times New Roman" w:hAnsi="Cambria" w:cs="Mangal"/>
      <w:b/>
      <w:bCs/>
      <w:color w:val="365F91"/>
      <w:sz w:val="28"/>
      <w:szCs w:val="28"/>
      <w:lang w:val="en-US" w:bidi="en-US"/>
    </w:rPr>
  </w:style>
  <w:style w:type="paragraph" w:styleId="Title">
    <w:name w:val="Title"/>
    <w:basedOn w:val="Normal"/>
    <w:next w:val="Normal"/>
    <w:link w:val="TitleChar"/>
    <w:uiPriority w:val="10"/>
    <w:qFormat/>
    <w:rsid w:val="00A50BB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50BBD"/>
    <w:rPr>
      <w:rFonts w:ascii="Cambria" w:eastAsia="Times New Roman" w:hAnsi="Cambria" w:cs="Mangal"/>
      <w:color w:val="17365D"/>
      <w:spacing w:val="5"/>
      <w:kern w:val="28"/>
      <w:sz w:val="52"/>
      <w:szCs w:val="52"/>
      <w:lang w:val="en-US" w:bidi="en-US"/>
    </w:rPr>
  </w:style>
  <w:style w:type="paragraph" w:styleId="BalloonText">
    <w:name w:val="Balloon Text"/>
    <w:basedOn w:val="Normal"/>
    <w:link w:val="BalloonTextChar"/>
    <w:uiPriority w:val="99"/>
    <w:semiHidden/>
    <w:unhideWhenUsed/>
    <w:rsid w:val="00675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37"/>
    <w:rPr>
      <w:rFonts w:ascii="Segoe UI" w:eastAsia="Times New Roman" w:hAnsi="Segoe UI" w:cs="Segoe UI"/>
      <w:sz w:val="18"/>
      <w:szCs w:val="18"/>
      <w:lang w:val="en-US" w:bidi="en-US"/>
    </w:rPr>
  </w:style>
  <w:style w:type="paragraph" w:styleId="ListParagraph">
    <w:name w:val="List Paragraph"/>
    <w:basedOn w:val="Normal"/>
    <w:uiPriority w:val="34"/>
    <w:qFormat/>
    <w:rsid w:val="004301CB"/>
    <w:pPr>
      <w:ind w:left="720"/>
      <w:contextualSpacing/>
    </w:pPr>
  </w:style>
  <w:style w:type="character" w:styleId="CommentReference">
    <w:name w:val="annotation reference"/>
    <w:basedOn w:val="DefaultParagraphFont"/>
    <w:uiPriority w:val="99"/>
    <w:semiHidden/>
    <w:unhideWhenUsed/>
    <w:rsid w:val="003A090B"/>
    <w:rPr>
      <w:sz w:val="16"/>
      <w:szCs w:val="16"/>
    </w:rPr>
  </w:style>
  <w:style w:type="paragraph" w:styleId="CommentText">
    <w:name w:val="annotation text"/>
    <w:basedOn w:val="Normal"/>
    <w:link w:val="CommentTextChar"/>
    <w:uiPriority w:val="99"/>
    <w:semiHidden/>
    <w:unhideWhenUsed/>
    <w:rsid w:val="003A090B"/>
    <w:pPr>
      <w:spacing w:line="240" w:lineRule="auto"/>
    </w:pPr>
    <w:rPr>
      <w:sz w:val="20"/>
      <w:szCs w:val="20"/>
    </w:rPr>
  </w:style>
  <w:style w:type="character" w:customStyle="1" w:styleId="CommentTextChar">
    <w:name w:val="Comment Text Char"/>
    <w:basedOn w:val="DefaultParagraphFont"/>
    <w:link w:val="CommentText"/>
    <w:uiPriority w:val="99"/>
    <w:semiHidden/>
    <w:rsid w:val="003A090B"/>
    <w:rPr>
      <w:rFonts w:ascii="Calibri" w:eastAsia="Times New Roman" w:hAnsi="Calibri" w:cs="Mangal"/>
      <w:sz w:val="20"/>
      <w:szCs w:val="20"/>
      <w:lang w:val="en-US" w:bidi="en-US"/>
    </w:rPr>
  </w:style>
  <w:style w:type="paragraph" w:styleId="CommentSubject">
    <w:name w:val="annotation subject"/>
    <w:basedOn w:val="CommentText"/>
    <w:next w:val="CommentText"/>
    <w:link w:val="CommentSubjectChar"/>
    <w:uiPriority w:val="99"/>
    <w:semiHidden/>
    <w:unhideWhenUsed/>
    <w:rsid w:val="003A090B"/>
    <w:rPr>
      <w:b/>
      <w:bCs/>
    </w:rPr>
  </w:style>
  <w:style w:type="character" w:customStyle="1" w:styleId="CommentSubjectChar">
    <w:name w:val="Comment Subject Char"/>
    <w:basedOn w:val="CommentTextChar"/>
    <w:link w:val="CommentSubject"/>
    <w:uiPriority w:val="99"/>
    <w:semiHidden/>
    <w:rsid w:val="003A090B"/>
    <w:rPr>
      <w:rFonts w:ascii="Calibri" w:eastAsia="Times New Roman" w:hAnsi="Calibri" w:cs="Mangal"/>
      <w:b/>
      <w:bCs/>
      <w:sz w:val="20"/>
      <w:szCs w:val="20"/>
      <w:lang w:val="en-US" w:bidi="en-US"/>
    </w:rPr>
  </w:style>
  <w:style w:type="numbering" w:customStyle="1" w:styleId="Style1">
    <w:name w:val="Style1"/>
    <w:uiPriority w:val="99"/>
    <w:rsid w:val="00592F13"/>
    <w:pPr>
      <w:numPr>
        <w:numId w:val="4"/>
      </w:numPr>
    </w:pPr>
  </w:style>
  <w:style w:type="paragraph" w:customStyle="1" w:styleId="115SVSisennysVlistys">
    <w:name w:val="1.15 SV Sisennys Välistys"/>
    <w:basedOn w:val="Normal"/>
    <w:link w:val="115SVSisennysVlistysChar"/>
    <w:uiPriority w:val="1"/>
    <w:qFormat/>
    <w:rsid w:val="00592F13"/>
    <w:pPr>
      <w:spacing w:before="240" w:after="240" w:line="240" w:lineRule="auto"/>
      <w:ind w:left="652"/>
      <w:jc w:val="both"/>
    </w:pPr>
    <w:rPr>
      <w:rFonts w:ascii="Arial" w:eastAsiaTheme="minorHAnsi" w:hAnsi="Arial" w:cstheme="minorHAnsi"/>
      <w:lang w:val="en-GB" w:bidi="ar-SA"/>
    </w:rPr>
  </w:style>
  <w:style w:type="character" w:customStyle="1" w:styleId="115SVSisennysVlistysChar">
    <w:name w:val="1.15 SV Sisennys Välistys Char"/>
    <w:basedOn w:val="DefaultParagraphFont"/>
    <w:link w:val="115SVSisennysVlistys"/>
    <w:uiPriority w:val="1"/>
    <w:rsid w:val="00592F13"/>
    <w:rPr>
      <w:rFonts w:ascii="Arial" w:hAnsi="Arial" w:cstheme="minorHAnsi"/>
      <w:lang w:val="en-GB"/>
    </w:rPr>
  </w:style>
  <w:style w:type="character" w:customStyle="1" w:styleId="Heading3Char">
    <w:name w:val="Heading 3 Char"/>
    <w:basedOn w:val="DefaultParagraphFont"/>
    <w:link w:val="Heading3"/>
    <w:uiPriority w:val="9"/>
    <w:semiHidden/>
    <w:rsid w:val="00825496"/>
    <w:rPr>
      <w:rFonts w:asciiTheme="majorHAnsi" w:eastAsiaTheme="majorEastAsia" w:hAnsiTheme="majorHAnsi" w:cstheme="majorBidi"/>
      <w:color w:val="1F3763" w:themeColor="accent1" w:themeShade="7F"/>
      <w:sz w:val="24"/>
      <w:szCs w:val="24"/>
      <w:lang w:val="en-US" w:bidi="en-US"/>
    </w:rPr>
  </w:style>
  <w:style w:type="character" w:customStyle="1" w:styleId="Heading2Char">
    <w:name w:val="Heading 2 Char"/>
    <w:basedOn w:val="DefaultParagraphFont"/>
    <w:link w:val="Heading2"/>
    <w:uiPriority w:val="9"/>
    <w:rsid w:val="006E7A42"/>
    <w:rPr>
      <w:rFonts w:asciiTheme="majorHAnsi" w:eastAsiaTheme="majorEastAsia" w:hAnsiTheme="majorHAnsi" w:cstheme="majorBidi"/>
      <w:color w:val="2F5496" w:themeColor="accent1" w:themeShade="BF"/>
      <w:sz w:val="26"/>
      <w:szCs w:val="26"/>
      <w:lang w:val="en-US" w:bidi="en-US"/>
    </w:rPr>
  </w:style>
  <w:style w:type="character" w:styleId="Hyperlink">
    <w:name w:val="Hyperlink"/>
    <w:basedOn w:val="DefaultParagraphFont"/>
    <w:uiPriority w:val="99"/>
    <w:unhideWhenUsed/>
    <w:rsid w:val="00A90467"/>
    <w:rPr>
      <w:color w:val="0000FF"/>
      <w:u w:val="single"/>
    </w:rPr>
  </w:style>
  <w:style w:type="character" w:styleId="UnresolvedMention">
    <w:name w:val="Unresolved Mention"/>
    <w:basedOn w:val="DefaultParagraphFont"/>
    <w:uiPriority w:val="99"/>
    <w:semiHidden/>
    <w:unhideWhenUsed/>
    <w:rsid w:val="00153BE3"/>
    <w:rPr>
      <w:color w:val="605E5C"/>
      <w:shd w:val="clear" w:color="auto" w:fill="E1DFDD"/>
    </w:rPr>
  </w:style>
  <w:style w:type="character" w:styleId="FollowedHyperlink">
    <w:name w:val="FollowedHyperlink"/>
    <w:basedOn w:val="DefaultParagraphFont"/>
    <w:uiPriority w:val="99"/>
    <w:semiHidden/>
    <w:unhideWhenUsed/>
    <w:rsid w:val="009C6C1D"/>
    <w:rPr>
      <w:color w:val="954F72" w:themeColor="followedHyperlink"/>
      <w:u w:val="single"/>
    </w:rPr>
  </w:style>
  <w:style w:type="paragraph" w:styleId="NoSpacing">
    <w:name w:val="No Spacing"/>
    <w:uiPriority w:val="1"/>
    <w:qFormat/>
    <w:rsid w:val="00355108"/>
    <w:pPr>
      <w:spacing w:after="0" w:line="240" w:lineRule="auto"/>
    </w:pPr>
    <w:rPr>
      <w:rFonts w:ascii="Calibri" w:eastAsia="Times New Roman" w:hAnsi="Calibri" w:cs="Mangal"/>
      <w:lang w:val="en-US" w:bidi="en-US"/>
    </w:rPr>
  </w:style>
  <w:style w:type="paragraph" w:styleId="BodyText">
    <w:name w:val="Body Text"/>
    <w:basedOn w:val="Normal"/>
    <w:link w:val="BodyTextChar"/>
    <w:uiPriority w:val="1"/>
    <w:qFormat/>
    <w:rsid w:val="001B652B"/>
    <w:pPr>
      <w:widowControl w:val="0"/>
      <w:autoSpaceDE w:val="0"/>
      <w:autoSpaceDN w:val="0"/>
      <w:spacing w:after="0" w:line="240" w:lineRule="auto"/>
    </w:pPr>
    <w:rPr>
      <w:rFonts w:ascii="Arial" w:eastAsia="Arial" w:hAnsi="Arial" w:cs="Arial"/>
      <w:lang w:val="nb-NO" w:bidi="ar-SA"/>
    </w:rPr>
  </w:style>
  <w:style w:type="character" w:customStyle="1" w:styleId="BodyTextChar">
    <w:name w:val="Body Text Char"/>
    <w:basedOn w:val="DefaultParagraphFont"/>
    <w:link w:val="BodyText"/>
    <w:uiPriority w:val="1"/>
    <w:rsid w:val="001B652B"/>
    <w:rPr>
      <w:rFonts w:ascii="Arial" w:eastAsia="Arial" w:hAnsi="Arial" w:cs="Arial"/>
    </w:rPr>
  </w:style>
  <w:style w:type="paragraph" w:customStyle="1" w:styleId="Default">
    <w:name w:val="Default"/>
    <w:rsid w:val="001B652B"/>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unhideWhenUsed/>
    <w:rsid w:val="001B652B"/>
    <w:pPr>
      <w:spacing w:before="100" w:beforeAutospacing="1" w:after="100" w:afterAutospacing="1" w:line="240" w:lineRule="auto"/>
    </w:pPr>
    <w:rPr>
      <w:rFonts w:ascii="Times New Roman" w:eastAsiaTheme="minorEastAsia" w:hAnsi="Times New Roman" w:cs="Times New Roman"/>
      <w:sz w:val="24"/>
      <w:szCs w:val="24"/>
      <w:lang w:val="nb-NO" w:eastAsia="nb-NO" w:bidi="ar-SA"/>
    </w:rPr>
  </w:style>
  <w:style w:type="paragraph" w:styleId="FootnoteText">
    <w:name w:val="footnote text"/>
    <w:basedOn w:val="Normal"/>
    <w:link w:val="FootnoteTextChar"/>
    <w:uiPriority w:val="99"/>
    <w:semiHidden/>
    <w:unhideWhenUsed/>
    <w:rsid w:val="001B652B"/>
    <w:pPr>
      <w:spacing w:after="0" w:line="240" w:lineRule="auto"/>
    </w:pPr>
    <w:rPr>
      <w:rFonts w:asciiTheme="minorHAnsi" w:eastAsiaTheme="minorHAnsi" w:hAnsiTheme="minorHAnsi" w:cstheme="minorBidi"/>
      <w:sz w:val="20"/>
      <w:szCs w:val="20"/>
      <w:lang w:val="nb-NO" w:bidi="ar-SA"/>
    </w:rPr>
  </w:style>
  <w:style w:type="character" w:customStyle="1" w:styleId="FootnoteTextChar">
    <w:name w:val="Footnote Text Char"/>
    <w:basedOn w:val="DefaultParagraphFont"/>
    <w:link w:val="FootnoteText"/>
    <w:uiPriority w:val="99"/>
    <w:semiHidden/>
    <w:rsid w:val="001B652B"/>
    <w:rPr>
      <w:sz w:val="20"/>
      <w:szCs w:val="20"/>
    </w:rPr>
  </w:style>
  <w:style w:type="character" w:styleId="FootnoteReference">
    <w:name w:val="footnote reference"/>
    <w:basedOn w:val="DefaultParagraphFont"/>
    <w:uiPriority w:val="99"/>
    <w:semiHidden/>
    <w:unhideWhenUsed/>
    <w:rsid w:val="001B6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91509">
      <w:bodyDiv w:val="1"/>
      <w:marLeft w:val="0"/>
      <w:marRight w:val="0"/>
      <w:marTop w:val="0"/>
      <w:marBottom w:val="0"/>
      <w:divBdr>
        <w:top w:val="none" w:sz="0" w:space="0" w:color="auto"/>
        <w:left w:val="none" w:sz="0" w:space="0" w:color="auto"/>
        <w:bottom w:val="none" w:sz="0" w:space="0" w:color="auto"/>
        <w:right w:val="none" w:sz="0" w:space="0" w:color="auto"/>
      </w:divBdr>
    </w:div>
    <w:div w:id="958487620">
      <w:bodyDiv w:val="1"/>
      <w:marLeft w:val="0"/>
      <w:marRight w:val="0"/>
      <w:marTop w:val="0"/>
      <w:marBottom w:val="0"/>
      <w:divBdr>
        <w:top w:val="none" w:sz="0" w:space="0" w:color="auto"/>
        <w:left w:val="none" w:sz="0" w:space="0" w:color="auto"/>
        <w:bottom w:val="none" w:sz="0" w:space="0" w:color="auto"/>
        <w:right w:val="none" w:sz="0" w:space="0" w:color="auto"/>
      </w:divBdr>
      <w:divsChild>
        <w:div w:id="896016577">
          <w:marLeft w:val="274"/>
          <w:marRight w:val="0"/>
          <w:marTop w:val="0"/>
          <w:marBottom w:val="0"/>
          <w:divBdr>
            <w:top w:val="none" w:sz="0" w:space="0" w:color="auto"/>
            <w:left w:val="none" w:sz="0" w:space="0" w:color="auto"/>
            <w:bottom w:val="none" w:sz="0" w:space="0" w:color="auto"/>
            <w:right w:val="none" w:sz="0" w:space="0" w:color="auto"/>
          </w:divBdr>
        </w:div>
        <w:div w:id="1550730135">
          <w:marLeft w:val="274"/>
          <w:marRight w:val="0"/>
          <w:marTop w:val="0"/>
          <w:marBottom w:val="0"/>
          <w:divBdr>
            <w:top w:val="none" w:sz="0" w:space="0" w:color="auto"/>
            <w:left w:val="none" w:sz="0" w:space="0" w:color="auto"/>
            <w:bottom w:val="none" w:sz="0" w:space="0" w:color="auto"/>
            <w:right w:val="none" w:sz="0" w:space="0" w:color="auto"/>
          </w:divBdr>
        </w:div>
        <w:div w:id="1663851392">
          <w:marLeft w:val="274"/>
          <w:marRight w:val="0"/>
          <w:marTop w:val="0"/>
          <w:marBottom w:val="0"/>
          <w:divBdr>
            <w:top w:val="none" w:sz="0" w:space="0" w:color="auto"/>
            <w:left w:val="none" w:sz="0" w:space="0" w:color="auto"/>
            <w:bottom w:val="none" w:sz="0" w:space="0" w:color="auto"/>
            <w:right w:val="none" w:sz="0" w:space="0" w:color="auto"/>
          </w:divBdr>
        </w:div>
        <w:div w:id="970669472">
          <w:marLeft w:val="274"/>
          <w:marRight w:val="0"/>
          <w:marTop w:val="0"/>
          <w:marBottom w:val="0"/>
          <w:divBdr>
            <w:top w:val="none" w:sz="0" w:space="0" w:color="auto"/>
            <w:left w:val="none" w:sz="0" w:space="0" w:color="auto"/>
            <w:bottom w:val="none" w:sz="0" w:space="0" w:color="auto"/>
            <w:right w:val="none" w:sz="0" w:space="0" w:color="auto"/>
          </w:divBdr>
        </w:div>
        <w:div w:id="828129395">
          <w:marLeft w:val="274"/>
          <w:marRight w:val="0"/>
          <w:marTop w:val="0"/>
          <w:marBottom w:val="0"/>
          <w:divBdr>
            <w:top w:val="none" w:sz="0" w:space="0" w:color="auto"/>
            <w:left w:val="none" w:sz="0" w:space="0" w:color="auto"/>
            <w:bottom w:val="none" w:sz="0" w:space="0" w:color="auto"/>
            <w:right w:val="none" w:sz="0" w:space="0" w:color="auto"/>
          </w:divBdr>
        </w:div>
        <w:div w:id="93062640">
          <w:marLeft w:val="274"/>
          <w:marRight w:val="0"/>
          <w:marTop w:val="0"/>
          <w:marBottom w:val="0"/>
          <w:divBdr>
            <w:top w:val="none" w:sz="0" w:space="0" w:color="auto"/>
            <w:left w:val="none" w:sz="0" w:space="0" w:color="auto"/>
            <w:bottom w:val="none" w:sz="0" w:space="0" w:color="auto"/>
            <w:right w:val="none" w:sz="0" w:space="0" w:color="auto"/>
          </w:divBdr>
        </w:div>
        <w:div w:id="1748722779">
          <w:marLeft w:val="274"/>
          <w:marRight w:val="0"/>
          <w:marTop w:val="0"/>
          <w:marBottom w:val="0"/>
          <w:divBdr>
            <w:top w:val="none" w:sz="0" w:space="0" w:color="auto"/>
            <w:left w:val="none" w:sz="0" w:space="0" w:color="auto"/>
            <w:bottom w:val="none" w:sz="0" w:space="0" w:color="auto"/>
            <w:right w:val="none" w:sz="0" w:space="0" w:color="auto"/>
          </w:divBdr>
        </w:div>
        <w:div w:id="248974653">
          <w:marLeft w:val="274"/>
          <w:marRight w:val="0"/>
          <w:marTop w:val="0"/>
          <w:marBottom w:val="0"/>
          <w:divBdr>
            <w:top w:val="none" w:sz="0" w:space="0" w:color="auto"/>
            <w:left w:val="none" w:sz="0" w:space="0" w:color="auto"/>
            <w:bottom w:val="none" w:sz="0" w:space="0" w:color="auto"/>
            <w:right w:val="none" w:sz="0" w:space="0" w:color="auto"/>
          </w:divBdr>
        </w:div>
        <w:div w:id="1477064227">
          <w:marLeft w:val="274"/>
          <w:marRight w:val="0"/>
          <w:marTop w:val="0"/>
          <w:marBottom w:val="0"/>
          <w:divBdr>
            <w:top w:val="none" w:sz="0" w:space="0" w:color="auto"/>
            <w:left w:val="none" w:sz="0" w:space="0" w:color="auto"/>
            <w:bottom w:val="none" w:sz="0" w:space="0" w:color="auto"/>
            <w:right w:val="none" w:sz="0" w:space="0" w:color="auto"/>
          </w:divBdr>
        </w:div>
        <w:div w:id="510606017">
          <w:marLeft w:val="274"/>
          <w:marRight w:val="0"/>
          <w:marTop w:val="0"/>
          <w:marBottom w:val="0"/>
          <w:divBdr>
            <w:top w:val="none" w:sz="0" w:space="0" w:color="auto"/>
            <w:left w:val="none" w:sz="0" w:space="0" w:color="auto"/>
            <w:bottom w:val="none" w:sz="0" w:space="0" w:color="auto"/>
            <w:right w:val="none" w:sz="0" w:space="0" w:color="auto"/>
          </w:divBdr>
        </w:div>
        <w:div w:id="144471312">
          <w:marLeft w:val="274"/>
          <w:marRight w:val="0"/>
          <w:marTop w:val="0"/>
          <w:marBottom w:val="0"/>
          <w:divBdr>
            <w:top w:val="none" w:sz="0" w:space="0" w:color="auto"/>
            <w:left w:val="none" w:sz="0" w:space="0" w:color="auto"/>
            <w:bottom w:val="none" w:sz="0" w:space="0" w:color="auto"/>
            <w:right w:val="none" w:sz="0" w:space="0" w:color="auto"/>
          </w:divBdr>
        </w:div>
        <w:div w:id="1510288418">
          <w:marLeft w:val="274"/>
          <w:marRight w:val="0"/>
          <w:marTop w:val="0"/>
          <w:marBottom w:val="0"/>
          <w:divBdr>
            <w:top w:val="none" w:sz="0" w:space="0" w:color="auto"/>
            <w:left w:val="none" w:sz="0" w:space="0" w:color="auto"/>
            <w:bottom w:val="none" w:sz="0" w:space="0" w:color="auto"/>
            <w:right w:val="none" w:sz="0" w:space="0" w:color="auto"/>
          </w:divBdr>
        </w:div>
      </w:divsChild>
    </w:div>
    <w:div w:id="1410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4C46C8F73FB4B9FEA823ABF03DF6E" ma:contentTypeVersion="11" ma:contentTypeDescription="Create a new document." ma:contentTypeScope="" ma:versionID="4c12d133c5962d90c76cf76a0300f1ef">
  <xsd:schema xmlns:xsd="http://www.w3.org/2001/XMLSchema" xmlns:xs="http://www.w3.org/2001/XMLSchema" xmlns:p="http://schemas.microsoft.com/office/2006/metadata/properties" xmlns:ns3="9934afec-988a-456d-b02d-9e4be95e3a53" xmlns:ns4="bd0ccc31-66e6-4265-a2e8-d1f27331a53f" targetNamespace="http://schemas.microsoft.com/office/2006/metadata/properties" ma:root="true" ma:fieldsID="08ab02ba29ba6c1debeda057cb3e9509" ns3:_="" ns4:_="">
    <xsd:import namespace="9934afec-988a-456d-b02d-9e4be95e3a53"/>
    <xsd:import namespace="bd0ccc31-66e6-4265-a2e8-d1f27331a5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4afec-988a-456d-b02d-9e4be95e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0ccc31-66e6-4265-a2e8-d1f27331a5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BCCDB-1B69-40B6-BC63-1A17C9726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4afec-988a-456d-b02d-9e4be95e3a53"/>
    <ds:schemaRef ds:uri="bd0ccc31-66e6-4265-a2e8-d1f27331a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91C09-9687-4CDD-899F-C45B7CA591F7}">
  <ds:schemaRefs>
    <ds:schemaRef ds:uri="http://schemas.openxmlformats.org/officeDocument/2006/bibliography"/>
  </ds:schemaRefs>
</ds:datastoreItem>
</file>

<file path=customXml/itemProps3.xml><?xml version="1.0" encoding="utf-8"?>
<ds:datastoreItem xmlns:ds="http://schemas.openxmlformats.org/officeDocument/2006/customXml" ds:itemID="{FBEE8294-E053-43CD-B541-0FE2EA6640B8}">
  <ds:schemaRefs>
    <ds:schemaRef ds:uri="http://schemas.microsoft.com/sharepoint/v3/contenttype/forms"/>
  </ds:schemaRefs>
</ds:datastoreItem>
</file>

<file path=customXml/itemProps4.xml><?xml version="1.0" encoding="utf-8"?>
<ds:datastoreItem xmlns:ds="http://schemas.openxmlformats.org/officeDocument/2006/customXml" ds:itemID="{EE7048A9-BFC8-4A34-9254-1A2AE2DD7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527</Words>
  <Characters>3004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Links>
    <vt:vector size="6" baseType="variant">
      <vt:variant>
        <vt:i4>3801132</vt:i4>
      </vt:variant>
      <vt:variant>
        <vt:i4>0</vt:i4>
      </vt:variant>
      <vt:variant>
        <vt:i4>0</vt:i4>
      </vt:variant>
      <vt:variant>
        <vt:i4>5</vt:i4>
      </vt:variant>
      <vt:variant>
        <vt:lpwstr>https://www.norfund.no/norfunds-whistleblowing-channel/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Junia Christiansen</dc:creator>
  <cp:keywords/>
  <dc:description/>
  <cp:lastModifiedBy>Indigo Trigg-Hauger</cp:lastModifiedBy>
  <cp:revision>2</cp:revision>
  <cp:lastPrinted>2021-09-30T12:20:00Z</cp:lastPrinted>
  <dcterms:created xsi:type="dcterms:W3CDTF">2023-01-26T12:36:00Z</dcterms:created>
  <dcterms:modified xsi:type="dcterms:W3CDTF">2023-01-26T12:36:00Z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0x01010034B4C46C8F73FB4B9FEA823ABF03DF6E</vt:lpwstr>
  </property>
  <property fmtid="{D5CDD505-2E9C-101B-9397-08002B2CF9AE}" pid="3" name="MFiles_PG802F26D99BED4ACBB7033AABEC607156">
    <vt:lpwstr>Policy</vt:lpwstr>
  </property>
</Properties>
</file>